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0153" w:rsidRPr="005207C4" w:rsidRDefault="00E7191C" w:rsidP="001F0C8E">
      <w:pPr>
        <w:pStyle w:val="NoSpacing"/>
        <w:jc w:val="right"/>
        <w:rPr>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-314325</wp:posOffset>
                </wp:positionV>
                <wp:extent cx="229362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A68" w:rsidRPr="00990C99" w:rsidRDefault="00EF2A68">
                            <w:pPr>
                              <w:rPr>
                                <w:b/>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pt;margin-top:-24.75pt;width:180.6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UggwIAAA8FAAAOAAAAZHJzL2Uyb0RvYy54bWysVNuO2yAQfa/Uf0C8Z32pc7G1zmo3qatK&#10;24u02w8gBseoGCiQ2Nuq/94BJ1n38lBV9QMGZjjMzDnD9c3QCXRkxnIlS5xcxRgxWSvK5b7Enx6r&#10;2Qoj64ikRCjJSvzELL5Zv3xx3euCpapVgjKDAETaotclbp3TRRTZumUdsVdKMwnGRpmOOFiafUQN&#10;6QG9E1Eax4uoV4Zqo2pmLexuRyNeB/ymYbX70DSWOSRKDLG5MJow7vwYra9JsTdEt7w+hUH+IYqO&#10;cAmXXqC2xBF0MPw3qI7XRlnVuKtadZFqGl6zkANkk8S/ZPPQEs1CLlAcqy9lsv8Ptn5//GgQp8Ad&#10;RpJ0QNEjGxy6UwNKfXV6bQtwetDg5gbY9p4+U6vvVf3ZIqk2LZF7dmuM6ltGKESX+JPR5OiIYz3I&#10;rn+nKFxDDk4FoKExnQeEYiBAB5aeLsz4UGrYTNP81SIFUw22dLFYxoG6iBTn09pY94apDvlJiQ0w&#10;H9DJ8d46Hw0pzi4heiU4rbgQYWH2u40w6EhAJVX4QgKQ5NRNSO8slT82Io47ECTc4W0+3MD6tzxJ&#10;s/guzWfVYrWcZVU2n+XLeDWLk/wuX8RZnm2r7z7AJCtaTimT91yyswKT7O8YPvXCqJ2gQdSXOJ+n&#10;85GiafR2mmQcvj8l2XEHDSl4V+LVxYkUntjXkkLapHCEi3Ee/Rx+qDLU4PwPVQky8MyPGnDDbgAU&#10;r42dok8gCKOAL6AWXhGYtMp8xaiHjiyx/XIghmEk3koQVZ5kmW/hsMjmSy8HM7XsphYia4AqscNo&#10;nG7c2PYHbfi+hZvOMr4FIVY8aOQ5qpN8oetCMqcXwrf1dB28nt+x9Q8AAAD//wMAUEsDBBQABgAI&#10;AAAAIQAXajfx4AAAAAkBAAAPAAAAZHJzL2Rvd25yZXYueG1sTI9PT8JAEMXvJn6HzZh4MbClAmLt&#10;luC/izegJh6Hdmir3d2mO0D10zue5Pjmvbz5vXQ52FYdqQ+NdwYm4wgUucKXjasM5NvX0QJUYHQl&#10;tt6RgW8KsMwuL1JMSn9yazpuuFJS4kKCBmrmLtE6FDVZDGPfkRNv73uLLLKvdNnjScptq+MommuL&#10;jZMPNXb0VFPxtTlYAz+P+fPq5YYn+5g/4ve1fcuLTzTm+mpYPYBiGvg/DH/4gg6ZMO38wZVBtQbi&#10;qZCzgdH0fgZKAreLuYzbyeVuBjpL9fmC7BcAAP//AwBQSwECLQAUAAYACAAAACEAtoM4kv4AAADh&#10;AQAAEwAAAAAAAAAAAAAAAAAAAAAAW0NvbnRlbnRfVHlwZXNdLnhtbFBLAQItABQABgAIAAAAIQA4&#10;/SH/1gAAAJQBAAALAAAAAAAAAAAAAAAAAC8BAABfcmVscy8ucmVsc1BLAQItABQABgAIAAAAIQC1&#10;nGUggwIAAA8FAAAOAAAAAAAAAAAAAAAAAC4CAABkcnMvZTJvRG9jLnhtbFBLAQItABQABgAIAAAA&#10;IQAXajfx4AAAAAkBAAAPAAAAAAAAAAAAAAAAAN0EAABkcnMvZG93bnJldi54bWxQSwUGAAAAAAQA&#10;BADzAAAA6gUAAAAA&#10;" stroked="f">
                <v:textbox style="mso-fit-shape-to-text:t">
                  <w:txbxContent>
                    <w:p w:rsidR="00EF2A68" w:rsidRPr="00990C99" w:rsidRDefault="00EF2A68">
                      <w:pPr>
                        <w:rPr>
                          <w:b/>
                          <w:sz w:val="24"/>
                          <w:szCs w:val="24"/>
                        </w:rPr>
                      </w:pPr>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2242820</wp:posOffset>
            </wp:positionH>
            <wp:positionV relativeFrom="paragraph">
              <wp:posOffset>-259080</wp:posOffset>
            </wp:positionV>
            <wp:extent cx="3657600" cy="478155"/>
            <wp:effectExtent l="0" t="0" r="0" b="0"/>
            <wp:wrapSquare wrapText="bothSides"/>
            <wp:docPr id="5" name="Picture 2" descr="Sheffield CCG co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col 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53" w:rsidRPr="005207C4" w:rsidRDefault="00D40153" w:rsidP="001F0C8E">
      <w:pPr>
        <w:pStyle w:val="NoSpacing"/>
        <w:rPr>
          <w:lang w:val="en-GB"/>
        </w:rPr>
      </w:pPr>
    </w:p>
    <w:p w:rsidR="00D40153" w:rsidRPr="005207C4" w:rsidRDefault="00D40153" w:rsidP="001F0C8E">
      <w:pPr>
        <w:pStyle w:val="NoSpacing"/>
        <w:rPr>
          <w:lang w:val="en-GB"/>
        </w:rPr>
      </w:pPr>
    </w:p>
    <w:p w:rsidR="00D40153" w:rsidRPr="005207C4" w:rsidRDefault="00D40153" w:rsidP="001F0C8E">
      <w:pPr>
        <w:pStyle w:val="NoSpacing"/>
        <w:rPr>
          <w:szCs w:val="28"/>
          <w:lang w:val="en-GB"/>
        </w:rPr>
      </w:pPr>
    </w:p>
    <w:p w:rsidR="00D40153" w:rsidRPr="005207C4" w:rsidRDefault="00D40153" w:rsidP="001F0C8E">
      <w:pPr>
        <w:pStyle w:val="NoSpacing"/>
        <w:rPr>
          <w:szCs w:val="28"/>
          <w:lang w:val="en-GB"/>
        </w:rPr>
      </w:pPr>
    </w:p>
    <w:p w:rsidR="00D40153" w:rsidRDefault="00D40153"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Pr="005207C4" w:rsidRDefault="00EE0949" w:rsidP="001F0C8E">
      <w:pPr>
        <w:pStyle w:val="NoSpacing"/>
        <w:rPr>
          <w:lang w:val="en-GB"/>
        </w:rPr>
      </w:pPr>
    </w:p>
    <w:p w:rsidR="00D40153" w:rsidRPr="005207C4" w:rsidRDefault="00D40153" w:rsidP="001F0C8E">
      <w:pPr>
        <w:pStyle w:val="NoSpacing"/>
        <w:rPr>
          <w:lang w:val="en-GB"/>
        </w:rPr>
      </w:pPr>
    </w:p>
    <w:p w:rsidR="009974B8" w:rsidRPr="00B313DE" w:rsidRDefault="00E809BE" w:rsidP="005A2A2F">
      <w:pPr>
        <w:spacing w:line="276" w:lineRule="auto"/>
        <w:rPr>
          <w:b/>
          <w:sz w:val="40"/>
          <w:szCs w:val="40"/>
        </w:rPr>
      </w:pPr>
      <w:r>
        <w:rPr>
          <w:b/>
          <w:sz w:val="40"/>
          <w:szCs w:val="40"/>
        </w:rPr>
        <w:t xml:space="preserve">NHS </w:t>
      </w:r>
      <w:r w:rsidR="009974B8" w:rsidRPr="00B313DE">
        <w:rPr>
          <w:b/>
          <w:sz w:val="40"/>
          <w:szCs w:val="40"/>
        </w:rPr>
        <w:t>Sheffield Clinical Commissioning Group</w:t>
      </w:r>
    </w:p>
    <w:p w:rsidR="00D40153" w:rsidRPr="005207C4" w:rsidRDefault="009974B8" w:rsidP="005A2A2F">
      <w:pPr>
        <w:pStyle w:val="NoSpacing"/>
        <w:rPr>
          <w:lang w:val="en-GB"/>
        </w:rPr>
      </w:pPr>
      <w:r w:rsidRPr="00B313DE">
        <w:rPr>
          <w:b/>
          <w:sz w:val="40"/>
          <w:szCs w:val="40"/>
        </w:rPr>
        <w:t xml:space="preserve">Procurement </w:t>
      </w:r>
      <w:r w:rsidR="008A45F0">
        <w:rPr>
          <w:b/>
          <w:sz w:val="40"/>
          <w:szCs w:val="40"/>
        </w:rPr>
        <w:t>Strategy</w:t>
      </w:r>
    </w:p>
    <w:p w:rsidR="00D40153" w:rsidRDefault="00D40153" w:rsidP="005A2A2F">
      <w:pPr>
        <w:pStyle w:val="NoSpacing"/>
        <w:rPr>
          <w:lang w:val="en-GB"/>
        </w:rPr>
      </w:pPr>
    </w:p>
    <w:p w:rsidR="005A2A2F" w:rsidRPr="005207C4" w:rsidRDefault="005A2A2F" w:rsidP="005A2A2F">
      <w:pPr>
        <w:pStyle w:val="No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tblGrid>
      <w:tr w:rsidR="005A2A2F" w:rsidRPr="00F527C2" w:rsidTr="00F527C2">
        <w:trPr>
          <w:trHeight w:val="454"/>
        </w:trPr>
        <w:tc>
          <w:tcPr>
            <w:tcW w:w="2410" w:type="dxa"/>
            <w:shd w:val="clear" w:color="auto" w:fill="auto"/>
            <w:vAlign w:val="center"/>
          </w:tcPr>
          <w:p w:rsidR="005A2A2F" w:rsidRPr="00F527C2" w:rsidRDefault="005A2A2F" w:rsidP="005A2A2F">
            <w:pPr>
              <w:rPr>
                <w:b/>
                <w:bCs/>
                <w:sz w:val="28"/>
                <w:szCs w:val="28"/>
                <w:lang w:val="en-GB"/>
              </w:rPr>
            </w:pPr>
            <w:r w:rsidRPr="00F527C2">
              <w:rPr>
                <w:b/>
                <w:bCs/>
                <w:sz w:val="28"/>
                <w:szCs w:val="28"/>
                <w:lang w:val="en-GB"/>
              </w:rPr>
              <w:t>Date:</w:t>
            </w:r>
          </w:p>
        </w:tc>
        <w:tc>
          <w:tcPr>
            <w:tcW w:w="2410" w:type="dxa"/>
            <w:shd w:val="clear" w:color="auto" w:fill="auto"/>
            <w:vAlign w:val="center"/>
          </w:tcPr>
          <w:p w:rsidR="005A2A2F" w:rsidRPr="00F527C2" w:rsidRDefault="006E5FCA" w:rsidP="00633561">
            <w:pPr>
              <w:rPr>
                <w:b/>
                <w:bCs/>
                <w:sz w:val="28"/>
                <w:szCs w:val="28"/>
                <w:lang w:val="en-GB"/>
              </w:rPr>
            </w:pPr>
            <w:r>
              <w:rPr>
                <w:b/>
                <w:bCs/>
                <w:sz w:val="28"/>
                <w:szCs w:val="28"/>
                <w:lang w:val="en-GB"/>
              </w:rPr>
              <w:t>May</w:t>
            </w:r>
            <w:r w:rsidR="001738A8">
              <w:rPr>
                <w:b/>
                <w:bCs/>
                <w:sz w:val="28"/>
                <w:szCs w:val="28"/>
                <w:lang w:val="en-GB"/>
              </w:rPr>
              <w:t xml:space="preserve"> </w:t>
            </w:r>
            <w:r w:rsidR="00633561">
              <w:rPr>
                <w:b/>
                <w:bCs/>
                <w:sz w:val="28"/>
                <w:szCs w:val="28"/>
                <w:lang w:val="en-GB"/>
              </w:rPr>
              <w:t>2019</w:t>
            </w:r>
          </w:p>
        </w:tc>
      </w:tr>
      <w:tr w:rsidR="005A2A2F" w:rsidRPr="00F527C2" w:rsidTr="00F527C2">
        <w:trPr>
          <w:trHeight w:val="418"/>
        </w:trPr>
        <w:tc>
          <w:tcPr>
            <w:tcW w:w="2410" w:type="dxa"/>
            <w:shd w:val="clear" w:color="auto" w:fill="auto"/>
            <w:vAlign w:val="center"/>
          </w:tcPr>
          <w:p w:rsidR="005A2A2F" w:rsidRPr="00F527C2" w:rsidRDefault="005A2A2F" w:rsidP="005A2A2F">
            <w:pPr>
              <w:rPr>
                <w:b/>
                <w:bCs/>
                <w:sz w:val="28"/>
                <w:szCs w:val="28"/>
                <w:lang w:val="en-GB"/>
              </w:rPr>
            </w:pPr>
            <w:r w:rsidRPr="00F527C2">
              <w:rPr>
                <w:b/>
                <w:bCs/>
                <w:sz w:val="28"/>
                <w:szCs w:val="28"/>
                <w:lang w:val="en-GB"/>
              </w:rPr>
              <w:t>Version:</w:t>
            </w:r>
          </w:p>
        </w:tc>
        <w:tc>
          <w:tcPr>
            <w:tcW w:w="2410" w:type="dxa"/>
            <w:shd w:val="clear" w:color="auto" w:fill="auto"/>
            <w:vAlign w:val="center"/>
          </w:tcPr>
          <w:p w:rsidR="005A2A2F" w:rsidRPr="00F527C2" w:rsidRDefault="005A2A2F" w:rsidP="00633561">
            <w:pPr>
              <w:rPr>
                <w:b/>
                <w:bCs/>
                <w:sz w:val="28"/>
                <w:szCs w:val="28"/>
                <w:lang w:val="en-GB"/>
              </w:rPr>
            </w:pPr>
            <w:r w:rsidRPr="00F527C2">
              <w:rPr>
                <w:b/>
                <w:bCs/>
                <w:sz w:val="28"/>
                <w:szCs w:val="28"/>
                <w:lang w:val="en-GB"/>
              </w:rPr>
              <w:t>1.</w:t>
            </w:r>
            <w:r w:rsidR="00633561">
              <w:rPr>
                <w:b/>
                <w:bCs/>
                <w:sz w:val="28"/>
                <w:szCs w:val="28"/>
                <w:lang w:val="en-GB"/>
              </w:rPr>
              <w:t>6</w:t>
            </w:r>
          </w:p>
        </w:tc>
      </w:tr>
    </w:tbl>
    <w:p w:rsidR="009974B8" w:rsidRDefault="009974B8" w:rsidP="005A2A2F">
      <w:pPr>
        <w:rPr>
          <w:b/>
          <w:bCs/>
          <w:sz w:val="28"/>
          <w:szCs w:val="28"/>
          <w:lang w:val="en-GB"/>
        </w:rPr>
      </w:pPr>
    </w:p>
    <w:p w:rsidR="00F2762B" w:rsidRDefault="00F2762B" w:rsidP="001F0C8E">
      <w:pPr>
        <w:jc w:val="center"/>
        <w:rPr>
          <w:b/>
          <w:bCs/>
          <w:sz w:val="28"/>
          <w:szCs w:val="28"/>
          <w:lang w:val="en-GB"/>
        </w:rPr>
      </w:pPr>
    </w:p>
    <w:p w:rsidR="005A2A2F" w:rsidRDefault="005A2A2F"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B853B0" w:rsidRPr="00C4534A" w:rsidRDefault="00B853B0" w:rsidP="00C4534A">
      <w:pPr>
        <w:rPr>
          <w:rFonts w:cs="Arial"/>
          <w:b/>
          <w:sz w:val="24"/>
          <w:szCs w:val="24"/>
        </w:rPr>
      </w:pPr>
      <w:r>
        <w:rPr>
          <w:b/>
          <w:bCs/>
          <w:sz w:val="28"/>
          <w:szCs w:val="28"/>
          <w:lang w:val="en-GB"/>
        </w:rPr>
        <w:br w:type="page"/>
      </w:r>
      <w:r w:rsidRPr="00C4534A">
        <w:rPr>
          <w:rFonts w:cs="Arial"/>
          <w:b/>
          <w:sz w:val="24"/>
          <w:szCs w:val="24"/>
        </w:rPr>
        <w:lastRenderedPageBreak/>
        <w:t>Contents</w:t>
      </w:r>
    </w:p>
    <w:p w:rsidR="00C4534A" w:rsidRPr="00C4534A" w:rsidRDefault="00C4534A" w:rsidP="00884B36">
      <w:pPr>
        <w:spacing w:line="276" w:lineRule="auto"/>
        <w:rPr>
          <w:rFonts w:eastAsia="Calibri" w:cs="Arial"/>
          <w:b/>
          <w:sz w:val="12"/>
          <w:szCs w:val="12"/>
          <w:lang w:val="en-GB"/>
        </w:rPr>
      </w:pPr>
    </w:p>
    <w:p w:rsidR="00884B36" w:rsidRPr="00884B36" w:rsidRDefault="00884B36" w:rsidP="00884B36">
      <w:pPr>
        <w:spacing w:line="276" w:lineRule="auto"/>
        <w:rPr>
          <w:rFonts w:eastAsia="Calibri" w:cs="Arial"/>
          <w:b/>
          <w:sz w:val="24"/>
          <w:szCs w:val="24"/>
          <w:lang w:val="en-GB"/>
        </w:rPr>
      </w:pPr>
      <w:r w:rsidRPr="00884B36">
        <w:rPr>
          <w:rFonts w:eastAsia="Calibri" w:cs="Arial"/>
          <w:b/>
          <w:sz w:val="24"/>
          <w:szCs w:val="24"/>
          <w:lang w:val="en-GB"/>
        </w:rPr>
        <w:t>Aims of this Procurement Strategy ……………………………………………….</w:t>
      </w:r>
      <w:r w:rsidRPr="00884B36">
        <w:rPr>
          <w:rFonts w:eastAsia="Calibri" w:cs="Arial"/>
          <w:b/>
          <w:sz w:val="24"/>
          <w:szCs w:val="24"/>
          <w:lang w:val="en-GB"/>
        </w:rPr>
        <w:tab/>
        <w:t>4</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Section 1 – Sheffield CCG’s Approach to Procurement</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1.1</w:t>
      </w:r>
      <w:r w:rsidRPr="00884B36">
        <w:rPr>
          <w:rFonts w:eastAsia="Calibri" w:cs="Arial"/>
          <w:sz w:val="24"/>
          <w:szCs w:val="24"/>
          <w:lang w:val="en-GB"/>
        </w:rPr>
        <w:tab/>
        <w:t>Introduction ……………………………………………………………………...</w:t>
      </w:r>
      <w:r w:rsidRPr="00884B36">
        <w:rPr>
          <w:rFonts w:eastAsia="Calibri" w:cs="Arial"/>
          <w:sz w:val="24"/>
          <w:szCs w:val="24"/>
          <w:lang w:val="en-GB"/>
        </w:rPr>
        <w:tab/>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1.2</w:t>
      </w:r>
      <w:r w:rsidRPr="00884B36">
        <w:rPr>
          <w:rFonts w:eastAsia="Calibri" w:cs="Arial"/>
          <w:sz w:val="24"/>
          <w:szCs w:val="24"/>
          <w:lang w:val="en-GB"/>
        </w:rPr>
        <w:tab/>
        <w:t>NHS Sheffield CCG’s Constitution …………………………………………...</w:t>
      </w:r>
      <w:r w:rsidRPr="00884B36">
        <w:rPr>
          <w:rFonts w:eastAsia="Calibri" w:cs="Arial"/>
          <w:sz w:val="24"/>
          <w:szCs w:val="24"/>
          <w:lang w:val="en-GB"/>
        </w:rPr>
        <w:tab/>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1.3</w:t>
      </w:r>
      <w:r w:rsidRPr="00884B36">
        <w:rPr>
          <w:rFonts w:eastAsia="Calibri" w:cs="Arial"/>
          <w:sz w:val="24"/>
          <w:szCs w:val="24"/>
          <w:lang w:val="en-GB"/>
        </w:rPr>
        <w:tab/>
        <w:t>The Role of the CCG Governing Body in the Procurement Process …….</w:t>
      </w:r>
      <w:r w:rsidRPr="00884B36">
        <w:rPr>
          <w:rFonts w:eastAsia="Calibri" w:cs="Arial"/>
          <w:sz w:val="24"/>
          <w:szCs w:val="24"/>
          <w:lang w:val="en-GB"/>
        </w:rPr>
        <w:tab/>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1.4</w:t>
      </w:r>
      <w:r w:rsidRPr="00884B36">
        <w:rPr>
          <w:rFonts w:eastAsia="Calibri" w:cs="Arial"/>
          <w:sz w:val="24"/>
          <w:szCs w:val="24"/>
          <w:lang w:val="en-GB"/>
        </w:rPr>
        <w:tab/>
        <w:t>Staff, Public and Patient Engagement ……………………………………….</w:t>
      </w:r>
      <w:r w:rsidRPr="00884B36">
        <w:rPr>
          <w:rFonts w:eastAsia="Calibri" w:cs="Arial"/>
          <w:sz w:val="24"/>
          <w:szCs w:val="24"/>
          <w:lang w:val="en-GB"/>
        </w:rPr>
        <w:tab/>
      </w:r>
      <w:r w:rsidR="001E0D40">
        <w:rPr>
          <w:rFonts w:eastAsia="Calibri" w:cs="Arial"/>
          <w:sz w:val="24"/>
          <w:szCs w:val="24"/>
          <w:lang w:val="en-GB"/>
        </w:rPr>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w:t>
      </w:r>
      <w:r w:rsidRPr="00884B36">
        <w:rPr>
          <w:rFonts w:eastAsia="Calibri" w:cs="Arial"/>
          <w:sz w:val="24"/>
          <w:szCs w:val="24"/>
          <w:lang w:val="en-GB"/>
        </w:rPr>
        <w:tab/>
        <w:t>Quality ……………………………………………………………………………</w:t>
      </w:r>
      <w:r w:rsidRPr="00884B36">
        <w:rPr>
          <w:rFonts w:eastAsia="Calibri" w:cs="Arial"/>
          <w:sz w:val="24"/>
          <w:szCs w:val="24"/>
          <w:lang w:val="en-GB"/>
        </w:rPr>
        <w:tab/>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1.5.1</w:t>
      </w:r>
      <w:r w:rsidRPr="00884B36">
        <w:rPr>
          <w:rFonts w:eastAsia="Calibri" w:cs="Arial"/>
          <w:sz w:val="24"/>
          <w:szCs w:val="24"/>
          <w:lang w:val="en-GB"/>
        </w:rPr>
        <w:tab/>
        <w:t>Quality, Innovation, Productivity and Prevention (QIPP) …………………..</w:t>
      </w:r>
      <w:r w:rsidRPr="00884B36">
        <w:rPr>
          <w:rFonts w:eastAsia="Calibri" w:cs="Arial"/>
          <w:sz w:val="24"/>
          <w:szCs w:val="24"/>
          <w:lang w:val="en-GB"/>
        </w:rPr>
        <w:tab/>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1.5.2</w:t>
      </w:r>
      <w:r w:rsidRPr="00884B36">
        <w:rPr>
          <w:rFonts w:eastAsia="Calibri" w:cs="Arial"/>
          <w:sz w:val="24"/>
          <w:szCs w:val="24"/>
          <w:lang w:val="en-GB"/>
        </w:rPr>
        <w:tab/>
        <w:t>Commissioning for Quality and Innovation (CQUIN)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1.5.3</w:t>
      </w:r>
      <w:r w:rsidRPr="00884B36">
        <w:rPr>
          <w:rFonts w:eastAsia="Calibri" w:cs="Arial"/>
          <w:sz w:val="24"/>
          <w:szCs w:val="24"/>
          <w:lang w:val="en-GB"/>
        </w:rPr>
        <w:tab/>
        <w:t>UK Government’s Approach to Quality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1.6</w:t>
      </w:r>
      <w:r w:rsidRPr="00884B36">
        <w:rPr>
          <w:rFonts w:eastAsia="Calibri" w:cs="Arial"/>
          <w:sz w:val="24"/>
          <w:szCs w:val="24"/>
          <w:lang w:val="en-GB"/>
        </w:rPr>
        <w:tab/>
        <w:t>Collaborative Procurement</w:t>
      </w:r>
      <w:r w:rsidRPr="00884B36">
        <w:rPr>
          <w:rFonts w:eastAsia="Calibri" w:cs="Arial"/>
          <w:sz w:val="24"/>
          <w:szCs w:val="24"/>
          <w:lang w:val="en-GB"/>
        </w:rPr>
        <w:tab/>
        <w:t xml:space="preserve">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1.7</w:t>
      </w:r>
      <w:r w:rsidRPr="00884B36">
        <w:rPr>
          <w:rFonts w:eastAsia="Calibri" w:cs="Arial"/>
          <w:sz w:val="24"/>
          <w:szCs w:val="24"/>
          <w:lang w:val="en-GB"/>
        </w:rPr>
        <w:tab/>
        <w:t>Decommissioning Services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Section 2 – Ensuring CCG Compliance with Procurement Rules and Regulation</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w:t>
      </w:r>
      <w:r w:rsidRPr="00884B36">
        <w:rPr>
          <w:rFonts w:eastAsia="Calibri" w:cs="Arial"/>
          <w:sz w:val="24"/>
          <w:szCs w:val="24"/>
          <w:lang w:val="en-GB"/>
        </w:rPr>
        <w:tab/>
        <w:t>Statutory Framework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 xml:space="preserve">2.2 </w:t>
      </w:r>
      <w:r w:rsidRPr="00884B36">
        <w:rPr>
          <w:rFonts w:eastAsia="Calibri" w:cs="Arial"/>
          <w:sz w:val="24"/>
          <w:szCs w:val="24"/>
          <w:lang w:val="en-GB"/>
        </w:rPr>
        <w:tab/>
        <w:t>Procurement Rules and EU Treaty Principles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2.2.1</w:t>
      </w:r>
      <w:r w:rsidRPr="00884B36">
        <w:rPr>
          <w:rFonts w:eastAsia="Calibri" w:cs="Arial"/>
          <w:sz w:val="24"/>
          <w:szCs w:val="24"/>
          <w:lang w:val="en-GB"/>
        </w:rPr>
        <w:tab/>
        <w:t>Responsibilities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2.2.2</w:t>
      </w:r>
      <w:r w:rsidRPr="00884B36">
        <w:rPr>
          <w:rFonts w:eastAsia="Calibri" w:cs="Arial"/>
          <w:sz w:val="24"/>
          <w:szCs w:val="24"/>
          <w:lang w:val="en-GB"/>
        </w:rPr>
        <w:tab/>
        <w:t>Health and Social Care Act 2012 …………………………………………….</w:t>
      </w:r>
      <w:r w:rsidRPr="00884B36">
        <w:rPr>
          <w:rFonts w:eastAsia="Calibri" w:cs="Arial"/>
          <w:sz w:val="24"/>
          <w:szCs w:val="24"/>
          <w:lang w:val="en-GB"/>
        </w:rPr>
        <w:tab/>
        <w:t>11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2.2.3</w:t>
      </w:r>
      <w:r w:rsidRPr="00884B36">
        <w:rPr>
          <w:rFonts w:eastAsia="Calibri" w:cs="Arial"/>
          <w:sz w:val="24"/>
          <w:szCs w:val="24"/>
          <w:lang w:val="en-GB"/>
        </w:rPr>
        <w:tab/>
        <w:t>Integrated Care, Choice and Competition …………………………………..</w:t>
      </w:r>
      <w:r w:rsidRPr="00884B36">
        <w:rPr>
          <w:rFonts w:eastAsia="Calibri" w:cs="Arial"/>
          <w:sz w:val="24"/>
          <w:szCs w:val="24"/>
          <w:lang w:val="en-GB"/>
        </w:rPr>
        <w:tab/>
        <w:t>11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2.2.4</w:t>
      </w:r>
      <w:r w:rsidRPr="00884B36">
        <w:rPr>
          <w:rFonts w:eastAsia="Calibri" w:cs="Arial"/>
          <w:sz w:val="24"/>
          <w:szCs w:val="24"/>
          <w:lang w:val="en-GB"/>
        </w:rPr>
        <w:tab/>
        <w:t>Publishing Contract Opportunities</w:t>
      </w:r>
      <w:r w:rsidRPr="00884B36">
        <w:rPr>
          <w:rFonts w:eastAsia="Calibri" w:cs="Arial"/>
          <w:sz w:val="24"/>
          <w:szCs w:val="24"/>
          <w:lang w:val="en-GB"/>
        </w:rPr>
        <w:tab/>
        <w:t xml:space="preserve"> ……………………………………………</w:t>
      </w:r>
      <w:r w:rsidRPr="00884B36">
        <w:rPr>
          <w:rFonts w:eastAsia="Calibri" w:cs="Arial"/>
          <w:sz w:val="24"/>
          <w:szCs w:val="24"/>
          <w:lang w:val="en-GB"/>
        </w:rPr>
        <w:tab/>
        <w:t>12</w:t>
      </w:r>
    </w:p>
    <w:p w:rsidR="00884B36" w:rsidRDefault="00884B36" w:rsidP="00884B36">
      <w:pPr>
        <w:spacing w:line="276" w:lineRule="auto"/>
        <w:rPr>
          <w:rFonts w:eastAsia="Calibri" w:cs="Arial"/>
          <w:sz w:val="24"/>
          <w:szCs w:val="24"/>
          <w:lang w:val="en-GB"/>
        </w:rPr>
      </w:pPr>
      <w:r w:rsidRPr="00884B36">
        <w:rPr>
          <w:rFonts w:eastAsia="Calibri" w:cs="Arial"/>
          <w:sz w:val="24"/>
          <w:szCs w:val="24"/>
          <w:lang w:val="en-GB"/>
        </w:rPr>
        <w:t>2.2.5</w:t>
      </w:r>
      <w:r w:rsidRPr="00884B36">
        <w:rPr>
          <w:rFonts w:eastAsia="Calibri" w:cs="Arial"/>
          <w:sz w:val="24"/>
          <w:szCs w:val="24"/>
          <w:lang w:val="en-GB"/>
        </w:rPr>
        <w:tab/>
        <w:t>Public Services (Social Value) Act 2012 (UK) ………………………………</w:t>
      </w:r>
      <w:r w:rsidRPr="00884B36">
        <w:rPr>
          <w:rFonts w:eastAsia="Calibri" w:cs="Arial"/>
          <w:sz w:val="24"/>
          <w:szCs w:val="24"/>
          <w:lang w:val="en-GB"/>
        </w:rPr>
        <w:tab/>
        <w:t>12</w:t>
      </w:r>
    </w:p>
    <w:p w:rsidR="00B41F76" w:rsidRPr="00884B36" w:rsidRDefault="00B41F76" w:rsidP="00884B36">
      <w:pPr>
        <w:spacing w:line="276" w:lineRule="auto"/>
        <w:rPr>
          <w:rFonts w:eastAsia="Calibri" w:cs="Arial"/>
          <w:sz w:val="24"/>
          <w:szCs w:val="24"/>
          <w:lang w:val="en-GB"/>
        </w:rPr>
      </w:pPr>
      <w:r>
        <w:rPr>
          <w:rFonts w:eastAsia="Calibri" w:cs="Arial"/>
          <w:sz w:val="24"/>
          <w:szCs w:val="24"/>
          <w:lang w:val="en-GB"/>
        </w:rPr>
        <w:t>2.2.6</w:t>
      </w:r>
      <w:r>
        <w:rPr>
          <w:rFonts w:eastAsia="Calibri" w:cs="Arial"/>
          <w:sz w:val="24"/>
          <w:szCs w:val="24"/>
          <w:lang w:val="en-GB"/>
        </w:rPr>
        <w:tab/>
        <w:t>The Impact of Brexit on the Marketplace</w:t>
      </w:r>
      <w:r>
        <w:rPr>
          <w:rFonts w:eastAsia="Calibri" w:cs="Arial"/>
          <w:sz w:val="24"/>
          <w:szCs w:val="24"/>
          <w:lang w:val="en-GB"/>
        </w:rPr>
        <w:tab/>
      </w:r>
      <w:r>
        <w:rPr>
          <w:rFonts w:eastAsia="Calibri" w:cs="Arial"/>
          <w:sz w:val="24"/>
          <w:szCs w:val="24"/>
          <w:lang w:val="en-GB"/>
        </w:rPr>
        <w:tab/>
      </w:r>
      <w:r>
        <w:rPr>
          <w:rFonts w:eastAsia="Calibri" w:cs="Arial"/>
          <w:sz w:val="24"/>
          <w:szCs w:val="24"/>
          <w:lang w:val="en-GB"/>
        </w:rPr>
        <w:tab/>
      </w:r>
      <w:r>
        <w:rPr>
          <w:rFonts w:eastAsia="Calibri" w:cs="Arial"/>
          <w:sz w:val="24"/>
          <w:szCs w:val="24"/>
          <w:lang w:val="en-GB"/>
        </w:rPr>
        <w:tab/>
      </w:r>
      <w:r>
        <w:rPr>
          <w:rFonts w:eastAsia="Calibri" w:cs="Arial"/>
          <w:sz w:val="24"/>
          <w:szCs w:val="24"/>
          <w:lang w:val="en-GB"/>
        </w:rPr>
        <w:tab/>
      </w:r>
      <w:r>
        <w:rPr>
          <w:rFonts w:eastAsia="Calibri" w:cs="Arial"/>
          <w:sz w:val="24"/>
          <w:szCs w:val="24"/>
          <w:lang w:val="en-GB"/>
        </w:rPr>
        <w:tab/>
        <w:t>12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w:t>
      </w:r>
      <w:r w:rsidR="00B41F76">
        <w:rPr>
          <w:rFonts w:eastAsia="Calibri" w:cs="Arial"/>
          <w:sz w:val="24"/>
          <w:szCs w:val="24"/>
          <w:lang w:val="en-GB"/>
        </w:rPr>
        <w:t>7</w:t>
      </w:r>
      <w:r w:rsidRPr="00884B36">
        <w:rPr>
          <w:rFonts w:eastAsia="Calibri" w:cs="Arial"/>
          <w:sz w:val="24"/>
          <w:szCs w:val="24"/>
          <w:lang w:val="en-GB"/>
        </w:rPr>
        <w:tab/>
        <w:t>Equality Act 2010 (UK)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w:t>
      </w:r>
      <w:r w:rsidR="00B41F76">
        <w:rPr>
          <w:rFonts w:eastAsia="Calibri" w:cs="Arial"/>
          <w:sz w:val="24"/>
          <w:szCs w:val="24"/>
          <w:lang w:val="en-GB"/>
        </w:rPr>
        <w:t>8</w:t>
      </w:r>
      <w:r w:rsidRPr="00884B36">
        <w:rPr>
          <w:rFonts w:eastAsia="Calibri" w:cs="Arial"/>
          <w:sz w:val="24"/>
          <w:szCs w:val="24"/>
          <w:lang w:val="en-GB"/>
        </w:rPr>
        <w:tab/>
        <w:t>Freedom of Information 2000 (UK) …………………………………………..</w:t>
      </w:r>
      <w:r w:rsidRPr="00884B36">
        <w:rPr>
          <w:rFonts w:eastAsia="Calibri" w:cs="Arial"/>
          <w:sz w:val="24"/>
          <w:szCs w:val="24"/>
          <w:lang w:val="en-GB"/>
        </w:rPr>
        <w:tab/>
        <w:t>13</w:t>
      </w:r>
    </w:p>
    <w:p w:rsidR="00884B36" w:rsidRPr="00C75610" w:rsidRDefault="00884B36" w:rsidP="00884B36">
      <w:pPr>
        <w:spacing w:line="276" w:lineRule="auto"/>
        <w:rPr>
          <w:rFonts w:eastAsia="Calibri" w:cs="Arial"/>
          <w:sz w:val="24"/>
          <w:szCs w:val="24"/>
          <w:lang w:val="en-GB"/>
        </w:rPr>
      </w:pPr>
      <w:r w:rsidRPr="00884B36">
        <w:rPr>
          <w:rFonts w:eastAsia="Calibri" w:cs="Arial"/>
          <w:sz w:val="24"/>
          <w:szCs w:val="24"/>
          <w:lang w:val="en-GB"/>
        </w:rPr>
        <w:t>2.3</w:t>
      </w:r>
      <w:r w:rsidRPr="00884B36">
        <w:rPr>
          <w:rFonts w:eastAsia="Calibri" w:cs="Arial"/>
          <w:sz w:val="24"/>
          <w:szCs w:val="24"/>
          <w:lang w:val="en-GB"/>
        </w:rPr>
        <w:tab/>
      </w:r>
      <w:r w:rsidR="003E2EE2">
        <w:rPr>
          <w:rFonts w:eastAsia="Calibri" w:cs="Arial"/>
          <w:sz w:val="24"/>
          <w:szCs w:val="24"/>
          <w:lang w:val="en-GB"/>
        </w:rPr>
        <w:t>The Role of NHS Improvement</w:t>
      </w:r>
      <w:r w:rsidRPr="00C75610">
        <w:rPr>
          <w:rFonts w:eastAsia="Calibri" w:cs="Arial"/>
          <w:sz w:val="24"/>
          <w:szCs w:val="24"/>
          <w:lang w:val="en-GB"/>
        </w:rPr>
        <w:t xml:space="preserve"> ……………………………………………..</w:t>
      </w:r>
      <w:r w:rsidRPr="00C75610">
        <w:rPr>
          <w:rFonts w:eastAsia="Calibri" w:cs="Arial"/>
          <w:sz w:val="24"/>
          <w:szCs w:val="24"/>
          <w:lang w:val="en-GB"/>
        </w:rPr>
        <w:tab/>
        <w:t>13</w:t>
      </w:r>
    </w:p>
    <w:p w:rsidR="00884B36" w:rsidRPr="00884B36" w:rsidRDefault="00884B36" w:rsidP="00884B36">
      <w:pPr>
        <w:spacing w:line="276" w:lineRule="auto"/>
        <w:rPr>
          <w:rFonts w:eastAsia="Calibri" w:cs="Arial"/>
          <w:sz w:val="24"/>
          <w:szCs w:val="24"/>
          <w:lang w:val="en-GB"/>
        </w:rPr>
      </w:pPr>
      <w:r w:rsidRPr="00C75610">
        <w:rPr>
          <w:rFonts w:eastAsia="Calibri" w:cs="Arial"/>
          <w:sz w:val="24"/>
          <w:szCs w:val="24"/>
          <w:lang w:val="en-GB"/>
        </w:rPr>
        <w:t>2.3.1</w:t>
      </w:r>
      <w:r w:rsidRPr="00C75610">
        <w:rPr>
          <w:rFonts w:eastAsia="Calibri" w:cs="Arial"/>
          <w:sz w:val="24"/>
          <w:szCs w:val="24"/>
          <w:lang w:val="en-GB"/>
        </w:rPr>
        <w:tab/>
      </w:r>
      <w:r w:rsidR="003E2EE2">
        <w:rPr>
          <w:rFonts w:eastAsia="Calibri" w:cs="Arial"/>
          <w:sz w:val="24"/>
          <w:szCs w:val="24"/>
          <w:lang w:val="en-GB"/>
        </w:rPr>
        <w:t>NHS Improvement</w:t>
      </w:r>
      <w:r w:rsidR="003E2EE2" w:rsidRPr="00C75610">
        <w:rPr>
          <w:rFonts w:eastAsia="Calibri" w:cs="Arial"/>
          <w:sz w:val="24"/>
          <w:szCs w:val="24"/>
          <w:lang w:val="en-GB"/>
        </w:rPr>
        <w:t xml:space="preserve"> </w:t>
      </w:r>
      <w:r w:rsidRPr="00C75610">
        <w:rPr>
          <w:rFonts w:eastAsia="Calibri" w:cs="Arial"/>
          <w:sz w:val="24"/>
          <w:szCs w:val="24"/>
          <w:lang w:val="en-GB"/>
        </w:rPr>
        <w:t>Testing Criteria ……………………………………………</w:t>
      </w:r>
      <w:r w:rsidRPr="00884B36">
        <w:rPr>
          <w:rFonts w:eastAsia="Calibri" w:cs="Arial"/>
          <w:sz w:val="24"/>
          <w:szCs w:val="24"/>
          <w:lang w:val="en-GB"/>
        </w:rPr>
        <w:tab/>
      </w:r>
      <w:r w:rsidR="00B41F76" w:rsidRPr="00884B36">
        <w:rPr>
          <w:rFonts w:eastAsia="Calibri" w:cs="Arial"/>
          <w:sz w:val="24"/>
          <w:szCs w:val="24"/>
          <w:lang w:val="en-GB"/>
        </w:rPr>
        <w:t>1</w:t>
      </w:r>
      <w:r w:rsidR="00B41F76">
        <w:rPr>
          <w:rFonts w:eastAsia="Calibri" w:cs="Arial"/>
          <w:sz w:val="24"/>
          <w:szCs w:val="24"/>
          <w:lang w:val="en-GB"/>
        </w:rPr>
        <w:t>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w:t>
      </w:r>
      <w:r w:rsidRPr="00884B36">
        <w:rPr>
          <w:rFonts w:eastAsia="Calibri" w:cs="Arial"/>
          <w:sz w:val="24"/>
          <w:szCs w:val="24"/>
          <w:lang w:val="en-GB"/>
        </w:rPr>
        <w:tab/>
        <w:t>CCG’s Prime Financial Policies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2.4.1</w:t>
      </w:r>
      <w:r w:rsidRPr="00884B36">
        <w:rPr>
          <w:rFonts w:eastAsia="Calibri" w:cs="Arial"/>
          <w:sz w:val="24"/>
          <w:szCs w:val="24"/>
          <w:lang w:val="en-GB"/>
        </w:rPr>
        <w:tab/>
        <w:t>For expenditure up to £10k</w:t>
      </w:r>
      <w:r w:rsidRPr="00884B36">
        <w:rPr>
          <w:rFonts w:eastAsia="Calibri" w:cs="Arial"/>
          <w:sz w:val="24"/>
          <w:szCs w:val="24"/>
          <w:lang w:val="en-GB"/>
        </w:rPr>
        <w:tab/>
        <w:t xml:space="preserve">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2.4.2</w:t>
      </w:r>
      <w:r w:rsidRPr="00884B36">
        <w:rPr>
          <w:rFonts w:eastAsia="Calibri" w:cs="Arial"/>
          <w:sz w:val="24"/>
          <w:szCs w:val="24"/>
          <w:lang w:val="en-GB"/>
        </w:rPr>
        <w:tab/>
        <w:t>For expenditure between £10k to £50k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2.4.3</w:t>
      </w:r>
      <w:r w:rsidRPr="00884B36">
        <w:rPr>
          <w:rFonts w:eastAsia="Calibri" w:cs="Arial"/>
          <w:sz w:val="24"/>
          <w:szCs w:val="24"/>
          <w:lang w:val="en-GB"/>
        </w:rPr>
        <w:tab/>
        <w:t>For expenditure over £50k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2.4.4</w:t>
      </w:r>
      <w:r w:rsidRPr="00884B36">
        <w:rPr>
          <w:rFonts w:eastAsia="Calibri" w:cs="Arial"/>
          <w:sz w:val="24"/>
          <w:szCs w:val="24"/>
          <w:lang w:val="en-GB"/>
        </w:rPr>
        <w:tab/>
        <w:t>Tender/No Tender Proforma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2.5</w:t>
      </w:r>
      <w:r w:rsidRPr="00884B36">
        <w:rPr>
          <w:rFonts w:eastAsia="Calibri" w:cs="Arial"/>
          <w:sz w:val="24"/>
          <w:szCs w:val="24"/>
          <w:lang w:val="en-GB"/>
        </w:rPr>
        <w:tab/>
        <w:t>Awarding of contracts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2.6</w:t>
      </w:r>
      <w:r w:rsidRPr="00884B36">
        <w:rPr>
          <w:rFonts w:eastAsia="Calibri" w:cs="Arial"/>
          <w:sz w:val="24"/>
          <w:szCs w:val="24"/>
          <w:lang w:val="en-GB"/>
        </w:rPr>
        <w:tab/>
        <w:t>Avoidance of procurement rules ………………………………………………</w:t>
      </w:r>
      <w:r w:rsidRPr="00884B36">
        <w:rPr>
          <w:rFonts w:eastAsia="Calibri" w:cs="Arial"/>
          <w:sz w:val="24"/>
          <w:szCs w:val="24"/>
          <w:lang w:val="en-GB"/>
        </w:rPr>
        <w:tab/>
        <w:t>17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2.7</w:t>
      </w:r>
      <w:r w:rsidRPr="00884B36">
        <w:rPr>
          <w:rFonts w:eastAsia="Calibri" w:cs="Arial"/>
          <w:sz w:val="24"/>
          <w:szCs w:val="24"/>
          <w:lang w:val="en-GB"/>
        </w:rPr>
        <w:tab/>
        <w:t>Document Hierarchy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2.8</w:t>
      </w:r>
      <w:r w:rsidRPr="00884B36">
        <w:rPr>
          <w:rFonts w:eastAsia="Calibri" w:cs="Arial"/>
          <w:sz w:val="24"/>
          <w:szCs w:val="24"/>
          <w:lang w:val="en-GB"/>
        </w:rPr>
        <w:tab/>
        <w:t>Most Economically Advantageous Tender (MEAT) …………………………</w:t>
      </w:r>
      <w:r w:rsidRPr="00884B36">
        <w:rPr>
          <w:rFonts w:eastAsia="Calibri" w:cs="Arial"/>
          <w:sz w:val="24"/>
          <w:szCs w:val="24"/>
          <w:lang w:val="en-GB"/>
        </w:rPr>
        <w:tab/>
        <w:t>17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2.9</w:t>
      </w:r>
      <w:r w:rsidRPr="00884B36">
        <w:rPr>
          <w:rFonts w:eastAsia="Calibri" w:cs="Arial"/>
          <w:sz w:val="24"/>
          <w:szCs w:val="24"/>
          <w:lang w:val="en-GB"/>
        </w:rPr>
        <w:tab/>
        <w:t>Managing Conflicts of Interest …………………………………………………</w:t>
      </w:r>
      <w:r w:rsidRPr="00884B36">
        <w:rPr>
          <w:rFonts w:eastAsia="Calibri" w:cs="Arial"/>
          <w:sz w:val="24"/>
          <w:szCs w:val="24"/>
          <w:lang w:val="en-GB"/>
        </w:rPr>
        <w:tab/>
        <w:t>18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2.10</w:t>
      </w:r>
      <w:r w:rsidRPr="00884B36">
        <w:rPr>
          <w:rFonts w:eastAsia="Calibri" w:cs="Arial"/>
          <w:sz w:val="24"/>
          <w:szCs w:val="24"/>
          <w:lang w:val="en-GB"/>
        </w:rPr>
        <w:tab/>
        <w:t>Pre-Procurement Engagement ………………………………………………..</w:t>
      </w:r>
      <w:r w:rsidRPr="00884B36">
        <w:rPr>
          <w:rFonts w:eastAsia="Calibri" w:cs="Arial"/>
          <w:sz w:val="24"/>
          <w:szCs w:val="24"/>
          <w:lang w:val="en-GB"/>
        </w:rPr>
        <w:tab/>
      </w:r>
      <w:r w:rsidR="001E0D40" w:rsidRPr="00884B36">
        <w:rPr>
          <w:rFonts w:eastAsia="Calibri" w:cs="Arial"/>
          <w:sz w:val="24"/>
          <w:szCs w:val="24"/>
          <w:lang w:val="en-GB"/>
        </w:rPr>
        <w:t>1</w:t>
      </w:r>
      <w:r w:rsidR="001E0D40">
        <w:rPr>
          <w:rFonts w:eastAsia="Calibri" w:cs="Arial"/>
          <w:sz w:val="24"/>
          <w:szCs w:val="24"/>
          <w:lang w:val="en-GB"/>
        </w:rPr>
        <w:t>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2.11</w:t>
      </w:r>
      <w:r w:rsidRPr="00884B36">
        <w:rPr>
          <w:rFonts w:eastAsia="Calibri" w:cs="Arial"/>
          <w:sz w:val="24"/>
          <w:szCs w:val="24"/>
          <w:lang w:val="en-GB"/>
        </w:rPr>
        <w:tab/>
        <w:t>OJEU Thresholds ……………………………………………………………….</w:t>
      </w:r>
      <w:r w:rsidRPr="00884B36">
        <w:rPr>
          <w:rFonts w:eastAsia="Calibri" w:cs="Arial"/>
          <w:sz w:val="24"/>
          <w:szCs w:val="24"/>
          <w:lang w:val="en-GB"/>
        </w:rPr>
        <w:tab/>
        <w:t>19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2.12</w:t>
      </w:r>
      <w:r w:rsidRPr="00884B36">
        <w:rPr>
          <w:rFonts w:eastAsia="Calibri" w:cs="Arial"/>
          <w:sz w:val="24"/>
          <w:szCs w:val="24"/>
          <w:lang w:val="en-GB"/>
        </w:rPr>
        <w:tab/>
        <w:t>Advertising Opportunities ………………………………………………………</w:t>
      </w:r>
      <w:r w:rsidRPr="00884B36">
        <w:rPr>
          <w:rFonts w:eastAsia="Calibri" w:cs="Arial"/>
          <w:sz w:val="24"/>
          <w:szCs w:val="24"/>
          <w:lang w:val="en-GB"/>
        </w:rPr>
        <w:tab/>
      </w:r>
      <w:r w:rsidR="001E0D40">
        <w:rPr>
          <w:rFonts w:eastAsia="Calibri" w:cs="Arial"/>
          <w:sz w:val="24"/>
          <w:szCs w:val="24"/>
          <w:lang w:val="en-GB"/>
        </w:rPr>
        <w:t>20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2.13</w:t>
      </w:r>
      <w:r w:rsidRPr="00884B36">
        <w:rPr>
          <w:rFonts w:eastAsia="Calibri" w:cs="Arial"/>
          <w:sz w:val="24"/>
          <w:szCs w:val="24"/>
          <w:lang w:val="en-GB"/>
        </w:rPr>
        <w:tab/>
        <w:t>Service Contracts ……………………………………………………………….</w:t>
      </w:r>
      <w:r w:rsidRPr="00884B36">
        <w:rPr>
          <w:rFonts w:eastAsia="Calibri" w:cs="Arial"/>
          <w:sz w:val="24"/>
          <w:szCs w:val="24"/>
          <w:lang w:val="en-GB"/>
        </w:rPr>
        <w:tab/>
        <w:t>19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2.14</w:t>
      </w:r>
      <w:r w:rsidRPr="00884B36">
        <w:rPr>
          <w:rFonts w:eastAsia="Calibri" w:cs="Arial"/>
          <w:sz w:val="24"/>
          <w:szCs w:val="24"/>
          <w:lang w:val="en-GB"/>
        </w:rPr>
        <w:tab/>
        <w:t>Exemptions for In-House Contracts and Joint Co-Operation ………………</w:t>
      </w:r>
      <w:r w:rsidRPr="00884B36">
        <w:rPr>
          <w:rFonts w:eastAsia="Calibri" w:cs="Arial"/>
          <w:sz w:val="24"/>
          <w:szCs w:val="24"/>
          <w:lang w:val="en-GB"/>
        </w:rPr>
        <w:tab/>
        <w:t>20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lastRenderedPageBreak/>
        <w:t>2.15</w:t>
      </w:r>
      <w:r w:rsidRPr="00884B36">
        <w:rPr>
          <w:rFonts w:eastAsia="Calibri" w:cs="Arial"/>
          <w:sz w:val="24"/>
          <w:szCs w:val="24"/>
          <w:lang w:val="en-GB"/>
        </w:rPr>
        <w:tab/>
        <w:t>Choice of Procedure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w:t>
      </w:r>
      <w:r w:rsidRPr="00884B36">
        <w:rPr>
          <w:rFonts w:eastAsia="Calibri" w:cs="Arial"/>
          <w:sz w:val="24"/>
          <w:szCs w:val="24"/>
          <w:lang w:val="en-GB"/>
        </w:rPr>
        <w:t>5.2</w:t>
      </w:r>
      <w:r w:rsidRPr="00884B36">
        <w:rPr>
          <w:rFonts w:eastAsia="Calibri" w:cs="Arial"/>
          <w:sz w:val="24"/>
          <w:szCs w:val="24"/>
          <w:lang w:val="en-GB"/>
        </w:rPr>
        <w:tab/>
        <w:t>New Procedures Available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w:t>
      </w:r>
      <w:r w:rsidRPr="00884B36">
        <w:rPr>
          <w:rFonts w:eastAsia="Calibri" w:cs="Arial"/>
          <w:sz w:val="24"/>
          <w:szCs w:val="24"/>
          <w:lang w:val="en-GB"/>
        </w:rPr>
        <w:t>5.3</w:t>
      </w:r>
      <w:r w:rsidRPr="00884B36">
        <w:rPr>
          <w:rFonts w:eastAsia="Calibri" w:cs="Arial"/>
          <w:sz w:val="24"/>
          <w:szCs w:val="24"/>
          <w:lang w:val="en-GB"/>
        </w:rPr>
        <w:tab/>
        <w:t xml:space="preserve">Greater freedom to use competitive with negotiation and competitive </w:t>
      </w:r>
      <w:r w:rsidRPr="00884B36">
        <w:rPr>
          <w:rFonts w:eastAsia="Calibri" w:cs="Arial"/>
          <w:sz w:val="24"/>
          <w:szCs w:val="24"/>
          <w:lang w:val="en-GB"/>
        </w:rPr>
        <w:tab/>
        <w:t>dialogue procedures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2.16</w:t>
      </w:r>
      <w:r w:rsidRPr="00884B36">
        <w:rPr>
          <w:rFonts w:eastAsia="Calibri" w:cs="Arial"/>
          <w:sz w:val="24"/>
          <w:szCs w:val="24"/>
          <w:lang w:val="en-GB"/>
        </w:rPr>
        <w:tab/>
        <w:t>Timescales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2.17</w:t>
      </w:r>
      <w:r w:rsidRPr="00884B36">
        <w:rPr>
          <w:rFonts w:eastAsia="Calibri" w:cs="Arial"/>
          <w:sz w:val="24"/>
          <w:szCs w:val="24"/>
          <w:lang w:val="en-GB"/>
        </w:rPr>
        <w:tab/>
        <w:t>Selection (Pre-Qualification) Stage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17.1</w:t>
      </w:r>
      <w:r w:rsidRPr="00884B36">
        <w:rPr>
          <w:rFonts w:eastAsia="Calibri" w:cs="Arial"/>
          <w:sz w:val="24"/>
          <w:szCs w:val="24"/>
          <w:lang w:val="en-GB"/>
        </w:rPr>
        <w:tab/>
        <w:t>New grounds for mandatory exclusion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17.2</w:t>
      </w:r>
      <w:r w:rsidRPr="00884B36">
        <w:rPr>
          <w:rFonts w:eastAsia="Calibri" w:cs="Arial"/>
          <w:sz w:val="24"/>
          <w:szCs w:val="24"/>
          <w:lang w:val="en-GB"/>
        </w:rPr>
        <w:tab/>
        <w:t>Extension of grounds for discretionary exclusion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17.3</w:t>
      </w:r>
      <w:r w:rsidRPr="00884B36">
        <w:rPr>
          <w:rFonts w:eastAsia="Calibri" w:cs="Arial"/>
          <w:sz w:val="24"/>
          <w:szCs w:val="24"/>
          <w:lang w:val="en-GB"/>
        </w:rPr>
        <w:tab/>
        <w:t>Duration of exclusion and ‘self-cleaning’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17.4</w:t>
      </w:r>
      <w:r w:rsidRPr="00884B36">
        <w:rPr>
          <w:rFonts w:eastAsia="Calibri" w:cs="Arial"/>
          <w:sz w:val="24"/>
          <w:szCs w:val="24"/>
          <w:lang w:val="en-GB"/>
        </w:rPr>
        <w:tab/>
        <w:t>Financial standing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17.5</w:t>
      </w:r>
      <w:r w:rsidRPr="00884B36">
        <w:rPr>
          <w:rFonts w:eastAsia="Calibri" w:cs="Arial"/>
          <w:sz w:val="24"/>
          <w:szCs w:val="24"/>
          <w:lang w:val="en-GB"/>
        </w:rPr>
        <w:tab/>
        <w:t>Technical capability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2.18</w:t>
      </w:r>
      <w:r w:rsidRPr="00884B36">
        <w:rPr>
          <w:rFonts w:eastAsia="Calibri" w:cs="Arial"/>
          <w:sz w:val="24"/>
          <w:szCs w:val="24"/>
          <w:lang w:val="en-GB"/>
        </w:rPr>
        <w:tab/>
        <w:t>Abnormally Low Tenders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2.19</w:t>
      </w:r>
      <w:r w:rsidRPr="00884B36">
        <w:rPr>
          <w:rFonts w:eastAsia="Calibri" w:cs="Arial"/>
          <w:sz w:val="24"/>
          <w:szCs w:val="24"/>
          <w:lang w:val="en-GB"/>
        </w:rPr>
        <w:tab/>
        <w:t>Evaluating Experience at Award (Invitation to Tender) Stage …………….</w:t>
      </w:r>
      <w:r w:rsidRPr="00884B36">
        <w:rPr>
          <w:rFonts w:eastAsia="Calibri" w:cs="Arial"/>
          <w:sz w:val="24"/>
          <w:szCs w:val="24"/>
          <w:lang w:val="en-GB"/>
        </w:rPr>
        <w:tab/>
        <w:t>23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2.20</w:t>
      </w:r>
      <w:r w:rsidRPr="00884B36">
        <w:rPr>
          <w:rFonts w:eastAsia="Calibri" w:cs="Arial"/>
          <w:sz w:val="24"/>
          <w:szCs w:val="24"/>
          <w:lang w:val="en-GB"/>
        </w:rPr>
        <w:tab/>
        <w:t>Regulation 84 Reports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2.21</w:t>
      </w:r>
      <w:r w:rsidRPr="00884B36">
        <w:rPr>
          <w:rFonts w:eastAsia="Calibri" w:cs="Arial"/>
          <w:sz w:val="24"/>
          <w:szCs w:val="24"/>
          <w:lang w:val="en-GB"/>
        </w:rPr>
        <w:tab/>
        <w:t>Framework Agreements ……………………………………………………….</w:t>
      </w:r>
      <w:r w:rsidRPr="00884B36">
        <w:rPr>
          <w:rFonts w:eastAsia="Calibri" w:cs="Arial"/>
          <w:sz w:val="24"/>
          <w:szCs w:val="24"/>
          <w:lang w:val="en-GB"/>
        </w:rPr>
        <w:tab/>
        <w:t>24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2.22</w:t>
      </w:r>
      <w:r w:rsidRPr="00884B36">
        <w:rPr>
          <w:rFonts w:eastAsia="Calibri" w:cs="Arial"/>
          <w:sz w:val="24"/>
          <w:szCs w:val="24"/>
          <w:lang w:val="en-GB"/>
        </w:rPr>
        <w:tab/>
        <w:t>Any Qualified Provider (AQP)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2.23</w:t>
      </w:r>
      <w:r w:rsidRPr="00884B36">
        <w:rPr>
          <w:rFonts w:eastAsia="Calibri" w:cs="Arial"/>
          <w:sz w:val="24"/>
          <w:szCs w:val="24"/>
          <w:lang w:val="en-GB"/>
        </w:rPr>
        <w:tab/>
        <w:t>Pilot Projects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24</w:t>
      </w:r>
      <w:r w:rsidRPr="00884B36">
        <w:rPr>
          <w:rFonts w:eastAsia="Calibri" w:cs="Arial"/>
          <w:sz w:val="24"/>
          <w:szCs w:val="24"/>
          <w:lang w:val="en-GB"/>
        </w:rPr>
        <w:tab/>
        <w:t>Sustainable Procurement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25</w:t>
      </w:r>
      <w:r w:rsidRPr="00884B36">
        <w:rPr>
          <w:rFonts w:eastAsia="Calibri" w:cs="Arial"/>
          <w:sz w:val="24"/>
          <w:szCs w:val="24"/>
          <w:lang w:val="en-GB"/>
        </w:rPr>
        <w:tab/>
        <w:t>Third Sector/SME Support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7</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 xml:space="preserve">Section 3 – </w:t>
      </w:r>
      <w:r w:rsidR="00EF2A68">
        <w:rPr>
          <w:rFonts w:eastAsia="Calibri" w:cs="Arial"/>
          <w:b/>
          <w:sz w:val="24"/>
          <w:szCs w:val="24"/>
          <w:u w:val="single"/>
          <w:lang w:val="en-GB"/>
        </w:rPr>
        <w:t xml:space="preserve">NHS </w:t>
      </w:r>
      <w:r w:rsidRPr="00884B36">
        <w:rPr>
          <w:rFonts w:eastAsia="Calibri" w:cs="Arial"/>
          <w:b/>
          <w:sz w:val="24"/>
          <w:szCs w:val="24"/>
          <w:u w:val="single"/>
          <w:lang w:val="en-GB"/>
        </w:rPr>
        <w:t xml:space="preserve">Sheffield CCG’s </w:t>
      </w:r>
      <w:r w:rsidR="00E53B76" w:rsidRPr="00884B36">
        <w:rPr>
          <w:rFonts w:eastAsia="Calibri" w:cs="Arial"/>
          <w:b/>
          <w:sz w:val="24"/>
          <w:szCs w:val="24"/>
          <w:u w:val="single"/>
          <w:lang w:val="en-GB"/>
        </w:rPr>
        <w:t>Annual Procurement</w:t>
      </w:r>
      <w:r w:rsidRPr="00884B36">
        <w:rPr>
          <w:rFonts w:eastAsia="Calibri" w:cs="Arial"/>
          <w:b/>
          <w:sz w:val="24"/>
          <w:szCs w:val="24"/>
          <w:u w:val="single"/>
          <w:lang w:val="en-GB"/>
        </w:rPr>
        <w:t xml:space="preserve"> Plan</w:t>
      </w:r>
    </w:p>
    <w:p w:rsidR="00884B36" w:rsidRPr="00884B36" w:rsidRDefault="00884B36" w:rsidP="00884B36">
      <w:pPr>
        <w:spacing w:line="276" w:lineRule="auto"/>
        <w:rPr>
          <w:rFonts w:ascii="Calibri" w:eastAsia="Calibri" w:hAnsi="Calibri"/>
          <w:szCs w:val="22"/>
          <w:lang w:val="en-GB"/>
        </w:rPr>
      </w:pPr>
      <w:r w:rsidRPr="00884B36">
        <w:rPr>
          <w:rFonts w:eastAsia="Calibri" w:cs="Arial"/>
          <w:sz w:val="24"/>
          <w:szCs w:val="24"/>
          <w:lang w:val="en-GB"/>
        </w:rPr>
        <w:t>3.1</w:t>
      </w:r>
      <w:r w:rsidRPr="00884B36">
        <w:rPr>
          <w:rFonts w:eastAsia="Calibri" w:cs="Arial"/>
          <w:sz w:val="24"/>
          <w:szCs w:val="24"/>
          <w:lang w:val="en-GB"/>
        </w:rPr>
        <w:tab/>
        <w:t>Procurement Work plan ………………………………………………………...</w:t>
      </w:r>
      <w:r w:rsidRPr="00884B36">
        <w:rPr>
          <w:rFonts w:eastAsia="Calibri" w:cs="Arial"/>
          <w:sz w:val="24"/>
          <w:szCs w:val="24"/>
          <w:lang w:val="en-GB"/>
        </w:rPr>
        <w:tab/>
      </w:r>
      <w:r w:rsidR="001E0D40" w:rsidRPr="00884B36">
        <w:rPr>
          <w:rFonts w:eastAsia="Calibri" w:cs="Arial"/>
          <w:sz w:val="24"/>
          <w:szCs w:val="24"/>
          <w:lang w:val="en-GB"/>
        </w:rPr>
        <w:t>2</w:t>
      </w:r>
      <w:r w:rsidR="001E0D40">
        <w:rPr>
          <w:rFonts w:eastAsia="Calibri" w:cs="Arial"/>
          <w:sz w:val="24"/>
          <w:szCs w:val="24"/>
          <w:lang w:val="en-GB"/>
        </w:rPr>
        <w:t>8</w:t>
      </w:r>
    </w:p>
    <w:p w:rsidR="00A73134" w:rsidRPr="00C4534A" w:rsidRDefault="00884B36" w:rsidP="00C4534A">
      <w:pPr>
        <w:rPr>
          <w:rFonts w:eastAsia="Arial"/>
          <w:b/>
          <w:sz w:val="24"/>
          <w:szCs w:val="24"/>
          <w:u w:val="single"/>
        </w:rPr>
      </w:pPr>
      <w:r>
        <w:rPr>
          <w:b/>
          <w:bCs/>
          <w:sz w:val="28"/>
          <w:szCs w:val="28"/>
          <w:lang w:val="en-GB"/>
        </w:rPr>
        <w:br w:type="page"/>
      </w:r>
      <w:bookmarkStart w:id="1" w:name="_Toc454455963"/>
      <w:bookmarkStart w:id="2" w:name="_Toc363823743"/>
      <w:bookmarkStart w:id="3" w:name="_Toc363823741"/>
      <w:r w:rsidR="00A73134" w:rsidRPr="00C4534A">
        <w:rPr>
          <w:rFonts w:eastAsia="Arial"/>
          <w:b/>
          <w:sz w:val="24"/>
          <w:szCs w:val="24"/>
          <w:u w:val="single"/>
        </w:rPr>
        <w:lastRenderedPageBreak/>
        <w:t xml:space="preserve">Aims of this </w:t>
      </w:r>
      <w:r w:rsidR="004352A4" w:rsidRPr="00C4534A">
        <w:rPr>
          <w:rFonts w:eastAsia="Arial"/>
          <w:b/>
          <w:sz w:val="24"/>
          <w:szCs w:val="24"/>
          <w:u w:val="single"/>
        </w:rPr>
        <w:t>P</w:t>
      </w:r>
      <w:r w:rsidR="00A73134" w:rsidRPr="00C4534A">
        <w:rPr>
          <w:rFonts w:eastAsia="Arial"/>
          <w:b/>
          <w:sz w:val="24"/>
          <w:szCs w:val="24"/>
          <w:u w:val="single"/>
        </w:rPr>
        <w:t xml:space="preserve">rocurement </w:t>
      </w:r>
      <w:r w:rsidR="008A45F0" w:rsidRPr="00C4534A">
        <w:rPr>
          <w:rFonts w:eastAsia="Arial"/>
          <w:b/>
          <w:sz w:val="24"/>
          <w:szCs w:val="24"/>
          <w:u w:val="single"/>
        </w:rPr>
        <w:t>Strategy</w:t>
      </w:r>
      <w:bookmarkEnd w:id="1"/>
    </w:p>
    <w:p w:rsidR="00A73134" w:rsidRPr="007B7BAC" w:rsidRDefault="00A73134" w:rsidP="00C4534A">
      <w:pPr>
        <w:pStyle w:val="Heading1"/>
        <w:numPr>
          <w:ilvl w:val="0"/>
          <w:numId w:val="0"/>
        </w:numPr>
        <w:rPr>
          <w:rFonts w:eastAsia="Arial"/>
          <w:sz w:val="28"/>
          <w:szCs w:val="28"/>
        </w:rPr>
      </w:pPr>
    </w:p>
    <w:p w:rsidR="00A73134" w:rsidRPr="000D0745" w:rsidRDefault="00A73134" w:rsidP="00C4534A">
      <w:pPr>
        <w:pStyle w:val="Heading1"/>
        <w:numPr>
          <w:ilvl w:val="0"/>
          <w:numId w:val="0"/>
        </w:numPr>
        <w:rPr>
          <w:b w:val="0"/>
          <w:sz w:val="24"/>
          <w:szCs w:val="24"/>
        </w:rPr>
      </w:pPr>
      <w:bookmarkStart w:id="4" w:name="_Toc454455964"/>
      <w:r w:rsidRPr="000D0745">
        <w:rPr>
          <w:b w:val="0"/>
          <w:sz w:val="24"/>
          <w:szCs w:val="24"/>
        </w:rPr>
        <w:t>The aims o</w:t>
      </w:r>
      <w:r w:rsidR="00DC2426">
        <w:rPr>
          <w:b w:val="0"/>
          <w:sz w:val="24"/>
          <w:szCs w:val="24"/>
        </w:rPr>
        <w:t xml:space="preserve">f this </w:t>
      </w:r>
      <w:r w:rsidR="008A45F0">
        <w:rPr>
          <w:b w:val="0"/>
          <w:sz w:val="24"/>
          <w:szCs w:val="24"/>
        </w:rPr>
        <w:t>strategy</w:t>
      </w:r>
      <w:r w:rsidR="004352A4">
        <w:rPr>
          <w:b w:val="0"/>
          <w:sz w:val="24"/>
          <w:szCs w:val="24"/>
        </w:rPr>
        <w:t xml:space="preserve"> </w:t>
      </w:r>
      <w:r w:rsidR="00DC2426">
        <w:rPr>
          <w:b w:val="0"/>
          <w:sz w:val="24"/>
          <w:szCs w:val="24"/>
        </w:rPr>
        <w:t>are three-fold:</w:t>
      </w:r>
      <w:bookmarkEnd w:id="4"/>
    </w:p>
    <w:p w:rsidR="00A73134" w:rsidRPr="000D0745" w:rsidRDefault="00A73134" w:rsidP="00C4534A">
      <w:pPr>
        <w:pStyle w:val="Heading1"/>
        <w:numPr>
          <w:ilvl w:val="0"/>
          <w:numId w:val="0"/>
        </w:numPr>
        <w:rPr>
          <w:b w:val="0"/>
          <w:sz w:val="24"/>
          <w:szCs w:val="24"/>
        </w:rPr>
      </w:pPr>
    </w:p>
    <w:p w:rsidR="00A73134" w:rsidRPr="000D0745" w:rsidRDefault="00A73134" w:rsidP="00C4534A">
      <w:pPr>
        <w:pStyle w:val="Heading1"/>
        <w:numPr>
          <w:ilvl w:val="0"/>
          <w:numId w:val="21"/>
        </w:numPr>
        <w:ind w:left="426" w:hanging="426"/>
        <w:rPr>
          <w:b w:val="0"/>
          <w:sz w:val="24"/>
          <w:szCs w:val="24"/>
        </w:rPr>
      </w:pPr>
      <w:bookmarkStart w:id="5" w:name="_Toc454455965"/>
      <w:r w:rsidRPr="000D0745">
        <w:rPr>
          <w:b w:val="0"/>
          <w:sz w:val="24"/>
          <w:szCs w:val="24"/>
        </w:rPr>
        <w:t xml:space="preserve">To provide an overview of how </w:t>
      </w:r>
      <w:r w:rsidR="00847A38">
        <w:rPr>
          <w:b w:val="0"/>
          <w:sz w:val="24"/>
          <w:szCs w:val="24"/>
        </w:rPr>
        <w:t xml:space="preserve">NHS Sheffield </w:t>
      </w:r>
      <w:r w:rsidRPr="000D0745">
        <w:rPr>
          <w:b w:val="0"/>
          <w:sz w:val="24"/>
          <w:szCs w:val="24"/>
        </w:rPr>
        <w:t xml:space="preserve">CCG </w:t>
      </w:r>
      <w:r w:rsidR="00847A38">
        <w:rPr>
          <w:b w:val="0"/>
          <w:sz w:val="24"/>
          <w:szCs w:val="24"/>
        </w:rPr>
        <w:t xml:space="preserve">(SCCG) </w:t>
      </w:r>
      <w:r w:rsidRPr="000D0745">
        <w:rPr>
          <w:b w:val="0"/>
          <w:sz w:val="24"/>
          <w:szCs w:val="24"/>
        </w:rPr>
        <w:t>will operate and the ethos that will be applied to all procurement activity whil</w:t>
      </w:r>
      <w:r w:rsidR="004352A4">
        <w:rPr>
          <w:b w:val="0"/>
          <w:sz w:val="24"/>
          <w:szCs w:val="24"/>
        </w:rPr>
        <w:t>st</w:t>
      </w:r>
      <w:r w:rsidRPr="000D0745">
        <w:rPr>
          <w:b w:val="0"/>
          <w:sz w:val="24"/>
          <w:szCs w:val="24"/>
        </w:rPr>
        <w:t xml:space="preserve"> ensuring compliance with st</w:t>
      </w:r>
      <w:r w:rsidR="001F0C8E">
        <w:rPr>
          <w:b w:val="0"/>
          <w:sz w:val="24"/>
          <w:szCs w:val="24"/>
        </w:rPr>
        <w:t>atutory procurement guidelines;</w:t>
      </w:r>
      <w:bookmarkEnd w:id="5"/>
    </w:p>
    <w:p w:rsidR="00A73134" w:rsidRPr="000D0745" w:rsidRDefault="00A73134" w:rsidP="00C4534A">
      <w:pPr>
        <w:ind w:left="426" w:hanging="426"/>
        <w:rPr>
          <w:sz w:val="24"/>
          <w:szCs w:val="24"/>
          <w:lang w:val="en-GB"/>
        </w:rPr>
      </w:pPr>
    </w:p>
    <w:p w:rsidR="00A73134" w:rsidRPr="000D0745" w:rsidRDefault="00A73134" w:rsidP="00C4534A">
      <w:pPr>
        <w:pStyle w:val="Heading1"/>
        <w:numPr>
          <w:ilvl w:val="0"/>
          <w:numId w:val="21"/>
        </w:numPr>
        <w:ind w:left="426" w:hanging="426"/>
        <w:rPr>
          <w:b w:val="0"/>
          <w:sz w:val="24"/>
          <w:szCs w:val="24"/>
        </w:rPr>
      </w:pPr>
      <w:bookmarkStart w:id="6" w:name="_Toc454455966"/>
      <w:r w:rsidRPr="000D0745">
        <w:rPr>
          <w:b w:val="0"/>
          <w:sz w:val="24"/>
          <w:szCs w:val="24"/>
        </w:rPr>
        <w:t>To provide advice and guidance for all staff working within the CCG who procure any goods or services by setting out the procurement principles, rules and method</w:t>
      </w:r>
      <w:r w:rsidR="001F0C8E">
        <w:rPr>
          <w:b w:val="0"/>
          <w:sz w:val="24"/>
          <w:szCs w:val="24"/>
        </w:rPr>
        <w:t>s that the CCG will work within; and</w:t>
      </w:r>
      <w:bookmarkEnd w:id="6"/>
      <w:r w:rsidRPr="000D0745">
        <w:rPr>
          <w:b w:val="0"/>
          <w:sz w:val="24"/>
          <w:szCs w:val="24"/>
        </w:rPr>
        <w:t xml:space="preserve"> </w:t>
      </w:r>
    </w:p>
    <w:p w:rsidR="00A73134" w:rsidRPr="000D0745" w:rsidRDefault="00A73134" w:rsidP="00C4534A">
      <w:pPr>
        <w:ind w:left="426" w:hanging="426"/>
        <w:rPr>
          <w:sz w:val="24"/>
          <w:szCs w:val="24"/>
          <w:lang w:val="en-GB"/>
        </w:rPr>
      </w:pPr>
    </w:p>
    <w:p w:rsidR="00A73134" w:rsidRPr="000D0745" w:rsidRDefault="00A73134" w:rsidP="00C4534A">
      <w:pPr>
        <w:pStyle w:val="Heading1"/>
        <w:numPr>
          <w:ilvl w:val="0"/>
          <w:numId w:val="21"/>
        </w:numPr>
        <w:ind w:left="426" w:hanging="426"/>
        <w:rPr>
          <w:b w:val="0"/>
          <w:sz w:val="24"/>
          <w:szCs w:val="24"/>
        </w:rPr>
      </w:pPr>
      <w:bookmarkStart w:id="7" w:name="_Toc454455967"/>
      <w:r w:rsidRPr="000D0745">
        <w:rPr>
          <w:b w:val="0"/>
          <w:sz w:val="24"/>
          <w:szCs w:val="24"/>
        </w:rPr>
        <w:t>To set out a summary of expected procurement activity to be undertaken by the CCG in the short and medium term</w:t>
      </w:r>
      <w:r w:rsidR="001F0C8E">
        <w:rPr>
          <w:b w:val="0"/>
          <w:sz w:val="24"/>
          <w:szCs w:val="24"/>
        </w:rPr>
        <w:t>.</w:t>
      </w:r>
      <w:bookmarkEnd w:id="7"/>
    </w:p>
    <w:p w:rsidR="00911491" w:rsidRPr="000D0745" w:rsidRDefault="00911491" w:rsidP="00C4534A">
      <w:pPr>
        <w:rPr>
          <w:sz w:val="24"/>
          <w:szCs w:val="24"/>
          <w:highlight w:val="yellow"/>
          <w:lang w:val="en-GB"/>
        </w:rPr>
      </w:pPr>
    </w:p>
    <w:p w:rsidR="00911491" w:rsidRPr="000D0745" w:rsidRDefault="00911491" w:rsidP="00C4534A">
      <w:pPr>
        <w:rPr>
          <w:sz w:val="24"/>
          <w:szCs w:val="24"/>
          <w:lang w:val="en-GB"/>
        </w:rPr>
      </w:pPr>
      <w:r w:rsidRPr="000D0745">
        <w:rPr>
          <w:sz w:val="24"/>
          <w:szCs w:val="24"/>
          <w:lang w:val="en-GB"/>
        </w:rPr>
        <w:t xml:space="preserve">This </w:t>
      </w:r>
      <w:r w:rsidR="004352A4">
        <w:rPr>
          <w:sz w:val="24"/>
          <w:szCs w:val="24"/>
          <w:lang w:val="en-GB"/>
        </w:rPr>
        <w:t xml:space="preserve">policy </w:t>
      </w:r>
      <w:r w:rsidRPr="000D0745">
        <w:rPr>
          <w:sz w:val="24"/>
          <w:szCs w:val="24"/>
          <w:lang w:val="en-GB"/>
        </w:rPr>
        <w:t>reflects existing national guidance, in particular the requirements of the NHS Procurement, Patient Choice and Competition Regulations 2013 (</w:t>
      </w:r>
      <w:r w:rsidR="00DC2426">
        <w:rPr>
          <w:sz w:val="24"/>
          <w:szCs w:val="24"/>
          <w:lang w:val="en-GB"/>
        </w:rPr>
        <w:t xml:space="preserve">No. </w:t>
      </w:r>
      <w:r w:rsidRPr="000D0745">
        <w:rPr>
          <w:sz w:val="24"/>
          <w:szCs w:val="24"/>
          <w:lang w:val="en-GB"/>
        </w:rPr>
        <w:t>2)</w:t>
      </w:r>
      <w:r w:rsidRPr="00F55A4C">
        <w:rPr>
          <w:rStyle w:val="FootnoteReference"/>
          <w:sz w:val="20"/>
          <w:lang w:val="en-GB"/>
        </w:rPr>
        <w:footnoteReference w:id="1"/>
      </w:r>
      <w:r w:rsidR="0000324B">
        <w:rPr>
          <w:sz w:val="24"/>
          <w:szCs w:val="24"/>
          <w:lang w:val="en-GB"/>
        </w:rPr>
        <w:t>,</w:t>
      </w:r>
      <w:r w:rsidRPr="000D0745">
        <w:rPr>
          <w:sz w:val="24"/>
          <w:szCs w:val="24"/>
          <w:lang w:val="en-GB"/>
        </w:rPr>
        <w:t xml:space="preserve"> the Procurement Guide for Commissioners of NHS Funded Services</w:t>
      </w:r>
      <w:r w:rsidRPr="00F55A4C">
        <w:rPr>
          <w:rStyle w:val="FootnoteReference"/>
          <w:sz w:val="20"/>
          <w:lang w:val="en-GB"/>
        </w:rPr>
        <w:footnoteReference w:id="2"/>
      </w:r>
      <w:r w:rsidR="0000324B">
        <w:rPr>
          <w:sz w:val="24"/>
          <w:szCs w:val="24"/>
          <w:lang w:val="en-GB"/>
        </w:rPr>
        <w:t xml:space="preserve">, and </w:t>
      </w:r>
      <w:r w:rsidR="0000324B" w:rsidRPr="005A2A2F">
        <w:rPr>
          <w:sz w:val="24"/>
          <w:szCs w:val="24"/>
        </w:rPr>
        <w:t>Monitor’s</w:t>
      </w:r>
      <w:r w:rsidR="00554EAC" w:rsidRPr="00351E97">
        <w:rPr>
          <w:i/>
          <w:sz w:val="24"/>
          <w:szCs w:val="24"/>
        </w:rPr>
        <w:t>*</w:t>
      </w:r>
      <w:r w:rsidR="0000324B" w:rsidRPr="005A2A2F">
        <w:rPr>
          <w:sz w:val="24"/>
          <w:szCs w:val="24"/>
        </w:rPr>
        <w:t xml:space="preserve"> Substantive guidance on the Procurement, Patient Choice and Competition Regulations</w:t>
      </w:r>
      <w:r w:rsidR="0000324B" w:rsidRPr="00F55A4C">
        <w:rPr>
          <w:rStyle w:val="FootnoteReference"/>
          <w:sz w:val="20"/>
        </w:rPr>
        <w:footnoteReference w:id="3"/>
      </w:r>
      <w:r w:rsidRPr="00F55A4C">
        <w:rPr>
          <w:sz w:val="20"/>
          <w:lang w:val="en-GB"/>
        </w:rPr>
        <w:t>.</w:t>
      </w:r>
    </w:p>
    <w:p w:rsidR="00A73134" w:rsidRDefault="00A73134" w:rsidP="00C4534A">
      <w:pPr>
        <w:rPr>
          <w:rFonts w:eastAsia="Arial"/>
          <w:sz w:val="24"/>
          <w:szCs w:val="24"/>
          <w:lang w:val="en-GB"/>
        </w:rPr>
      </w:pPr>
    </w:p>
    <w:p w:rsidR="00F379CE" w:rsidRPr="00F379CE" w:rsidRDefault="00F379CE" w:rsidP="00C4534A">
      <w:pPr>
        <w:rPr>
          <w:rFonts w:eastAsia="Arial"/>
          <w:sz w:val="24"/>
          <w:szCs w:val="24"/>
          <w:lang w:val="en-GB"/>
        </w:rPr>
      </w:pPr>
      <w:r>
        <w:rPr>
          <w:rFonts w:eastAsia="Arial"/>
          <w:sz w:val="24"/>
          <w:szCs w:val="24"/>
          <w:lang w:val="en-GB"/>
        </w:rPr>
        <w:t xml:space="preserve">The </w:t>
      </w:r>
      <w:r w:rsidR="00247757">
        <w:rPr>
          <w:rFonts w:eastAsia="Arial"/>
          <w:sz w:val="24"/>
          <w:szCs w:val="24"/>
          <w:lang w:val="en-GB"/>
        </w:rPr>
        <w:t xml:space="preserve">full </w:t>
      </w:r>
      <w:r>
        <w:rPr>
          <w:rFonts w:eastAsia="Arial"/>
          <w:sz w:val="24"/>
          <w:szCs w:val="24"/>
          <w:lang w:val="en-GB"/>
        </w:rPr>
        <w:t xml:space="preserve">legal and regulatory framework that the CCG </w:t>
      </w:r>
      <w:r w:rsidRPr="00F379CE">
        <w:rPr>
          <w:rFonts w:eastAsia="Arial"/>
          <w:sz w:val="24"/>
          <w:szCs w:val="24"/>
          <w:lang w:val="en-GB"/>
        </w:rPr>
        <w:t xml:space="preserve">will </w:t>
      </w:r>
      <w:r w:rsidR="00247757">
        <w:rPr>
          <w:rFonts w:eastAsia="Arial"/>
          <w:sz w:val="24"/>
          <w:szCs w:val="24"/>
          <w:lang w:val="en-GB"/>
        </w:rPr>
        <w:t>abide by is made up of</w:t>
      </w:r>
      <w:r w:rsidRPr="00F379CE">
        <w:rPr>
          <w:rFonts w:eastAsia="Arial"/>
          <w:sz w:val="24"/>
          <w:szCs w:val="24"/>
          <w:lang w:val="en-GB"/>
        </w:rPr>
        <w:t>:</w:t>
      </w:r>
    </w:p>
    <w:p w:rsidR="00F379CE" w:rsidRPr="00F379CE" w:rsidRDefault="00F379CE" w:rsidP="00C4534A">
      <w:pPr>
        <w:rPr>
          <w:rFonts w:eastAsia="Arial"/>
          <w:sz w:val="24"/>
          <w:szCs w:val="24"/>
          <w:lang w:val="en-GB"/>
        </w:rPr>
      </w:pP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NHS (Clinical Commissioning G</w:t>
      </w:r>
      <w:r w:rsidR="00247757">
        <w:rPr>
          <w:rFonts w:eastAsia="Arial"/>
          <w:sz w:val="24"/>
          <w:szCs w:val="24"/>
          <w:lang w:val="en-GB"/>
        </w:rPr>
        <w:t>roup) Regulation 2012 no. 1631 (</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Securi</w:t>
      </w:r>
      <w:r w:rsidR="00247757">
        <w:rPr>
          <w:rFonts w:eastAsia="Arial"/>
          <w:sz w:val="24"/>
          <w:szCs w:val="24"/>
          <w:lang w:val="en-GB"/>
        </w:rPr>
        <w:t xml:space="preserve">ng best value for NHS patients </w:t>
      </w:r>
      <w:r w:rsidRPr="00F379CE">
        <w:rPr>
          <w:rFonts w:eastAsia="Arial"/>
          <w:sz w:val="24"/>
          <w:szCs w:val="24"/>
          <w:lang w:val="en-GB"/>
        </w:rPr>
        <w:t>(2012)</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 xml:space="preserve">Procurement briefings for Clinical </w:t>
      </w:r>
      <w:r w:rsidR="00247757">
        <w:rPr>
          <w:rFonts w:eastAsia="Arial"/>
          <w:sz w:val="24"/>
          <w:szCs w:val="24"/>
          <w:lang w:val="en-GB"/>
        </w:rPr>
        <w:t>Commissioning Groups (</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Procurement Guide for commi</w:t>
      </w:r>
      <w:r w:rsidR="00247757">
        <w:rPr>
          <w:rFonts w:eastAsia="Arial"/>
          <w:sz w:val="24"/>
          <w:szCs w:val="24"/>
          <w:lang w:val="en-GB"/>
        </w:rPr>
        <w:t>ssioners of NHS-funded services</w:t>
      </w:r>
      <w:r w:rsidRPr="00F379CE">
        <w:rPr>
          <w:rFonts w:eastAsia="Arial"/>
          <w:sz w:val="24"/>
          <w:szCs w:val="24"/>
          <w:lang w:val="en-GB"/>
        </w:rPr>
        <w:t xml:space="preserve"> </w:t>
      </w:r>
      <w:r w:rsidR="00247757">
        <w:rPr>
          <w:rFonts w:eastAsia="Arial"/>
          <w:sz w:val="24"/>
          <w:szCs w:val="24"/>
          <w:lang w:val="en-GB"/>
        </w:rPr>
        <w:t>(</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247757" w:rsidRDefault="00247757" w:rsidP="00C4534A">
      <w:pPr>
        <w:numPr>
          <w:ilvl w:val="0"/>
          <w:numId w:val="31"/>
        </w:numPr>
        <w:ind w:left="426" w:hanging="426"/>
        <w:rPr>
          <w:rFonts w:eastAsia="Arial"/>
          <w:sz w:val="24"/>
          <w:szCs w:val="24"/>
          <w:lang w:val="en-GB"/>
        </w:rPr>
      </w:pPr>
      <w:r w:rsidRPr="00247757">
        <w:rPr>
          <w:rFonts w:eastAsia="Arial"/>
          <w:sz w:val="24"/>
          <w:szCs w:val="24"/>
          <w:lang w:val="en-GB"/>
        </w:rPr>
        <w:t xml:space="preserve">Public Services (Social Value) Act </w:t>
      </w:r>
      <w:r>
        <w:rPr>
          <w:rFonts w:eastAsia="Arial"/>
          <w:sz w:val="24"/>
          <w:szCs w:val="24"/>
          <w:lang w:val="en-GB"/>
        </w:rPr>
        <w:t>(</w:t>
      </w:r>
      <w:r w:rsidRPr="00247757">
        <w:rPr>
          <w:rFonts w:eastAsia="Arial"/>
          <w:sz w:val="24"/>
          <w:szCs w:val="24"/>
          <w:lang w:val="en-GB"/>
        </w:rPr>
        <w:t>2012</w:t>
      </w:r>
      <w:r>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Health and Social Care Act (2012)</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National Health Service (Procurement, Patient Choice and Competi</w:t>
      </w:r>
      <w:r w:rsidR="00247757">
        <w:rPr>
          <w:rFonts w:eastAsia="Arial"/>
          <w:sz w:val="24"/>
          <w:szCs w:val="24"/>
          <w:lang w:val="en-GB"/>
        </w:rPr>
        <w:t>tion) (No 2) Regulations (2013)</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Monitor’s Substantive guidance on the Procurement, Patient Choice and Competition Regulations (2014)</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Managing Conflicts of Interest: Statutory Guidance for CCGs (2014)</w:t>
      </w:r>
      <w:r w:rsidR="007F1011">
        <w:rPr>
          <w:rFonts w:eastAsia="Arial"/>
          <w:sz w:val="24"/>
          <w:szCs w:val="24"/>
          <w:lang w:val="en-GB"/>
        </w:rPr>
        <w:t>; and</w:t>
      </w:r>
    </w:p>
    <w:p w:rsidR="00F379CE" w:rsidRPr="000D0745"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Public Contracts Regulations (2015)</w:t>
      </w:r>
      <w:r w:rsidR="007F1011">
        <w:rPr>
          <w:rFonts w:eastAsia="Arial"/>
          <w:sz w:val="24"/>
          <w:szCs w:val="24"/>
          <w:lang w:val="en-GB"/>
        </w:rPr>
        <w:t>.</w:t>
      </w:r>
    </w:p>
    <w:p w:rsidR="00554EAC" w:rsidRDefault="00554EAC" w:rsidP="00C4534A">
      <w:pPr>
        <w:rPr>
          <w:rFonts w:eastAsia="Arial"/>
          <w:b/>
          <w:sz w:val="28"/>
          <w:szCs w:val="28"/>
          <w:u w:val="single"/>
          <w:lang w:val="en-GB"/>
        </w:rPr>
      </w:pPr>
    </w:p>
    <w:p w:rsidR="00351E97" w:rsidRDefault="00351E97" w:rsidP="00C4534A">
      <w:pPr>
        <w:rPr>
          <w:rFonts w:eastAsia="Arial"/>
          <w:b/>
          <w:i/>
          <w:szCs w:val="22"/>
          <w:lang w:val="en-GB"/>
        </w:rPr>
      </w:pPr>
    </w:p>
    <w:p w:rsidR="004A4C04" w:rsidRPr="00C4534A" w:rsidRDefault="00351E97" w:rsidP="00C4534A">
      <w:pPr>
        <w:rPr>
          <w:rFonts w:eastAsia="Arial"/>
          <w:b/>
          <w:sz w:val="24"/>
          <w:szCs w:val="24"/>
          <w:u w:val="single"/>
          <w:lang w:val="en-GB"/>
        </w:rPr>
      </w:pPr>
      <w:r w:rsidRPr="00B24A01">
        <w:rPr>
          <w:rFonts w:eastAsia="Arial"/>
          <w:i/>
          <w:sz w:val="16"/>
          <w:szCs w:val="16"/>
          <w:lang w:val="en"/>
        </w:rPr>
        <w:t>.</w:t>
      </w:r>
      <w:r w:rsidRPr="00B24A01">
        <w:rPr>
          <w:rFonts w:eastAsia="Arial"/>
          <w:b/>
          <w:sz w:val="16"/>
          <w:szCs w:val="16"/>
          <w:u w:val="single"/>
          <w:lang w:val="en"/>
        </w:rPr>
        <w:t xml:space="preserve">  </w:t>
      </w:r>
      <w:r w:rsidR="001F0C8E">
        <w:rPr>
          <w:rFonts w:eastAsia="Arial"/>
          <w:b/>
          <w:sz w:val="28"/>
          <w:szCs w:val="28"/>
          <w:u w:val="single"/>
          <w:lang w:val="en-GB"/>
        </w:rPr>
        <w:br w:type="page"/>
      </w:r>
      <w:r w:rsidR="004A4C04" w:rsidRPr="00C4534A">
        <w:rPr>
          <w:rFonts w:eastAsia="Arial"/>
          <w:b/>
          <w:sz w:val="24"/>
          <w:szCs w:val="24"/>
          <w:u w:val="single"/>
          <w:lang w:val="en-GB"/>
        </w:rPr>
        <w:lastRenderedPageBreak/>
        <w:t xml:space="preserve">Section 1 – </w:t>
      </w:r>
      <w:r w:rsidR="00EF2A68">
        <w:rPr>
          <w:rFonts w:eastAsia="Arial"/>
          <w:b/>
          <w:sz w:val="24"/>
          <w:szCs w:val="24"/>
          <w:u w:val="single"/>
          <w:lang w:val="en-GB"/>
        </w:rPr>
        <w:t xml:space="preserve">NHS </w:t>
      </w:r>
      <w:r w:rsidR="004A4C04" w:rsidRPr="00C4534A">
        <w:rPr>
          <w:rFonts w:eastAsia="Arial"/>
          <w:b/>
          <w:sz w:val="24"/>
          <w:szCs w:val="24"/>
          <w:u w:val="single"/>
          <w:lang w:val="en-GB"/>
        </w:rPr>
        <w:t>Sheffield CCG</w:t>
      </w:r>
      <w:r w:rsidR="004352A4" w:rsidRPr="00C4534A">
        <w:rPr>
          <w:rFonts w:eastAsia="Arial"/>
          <w:b/>
          <w:sz w:val="24"/>
          <w:szCs w:val="24"/>
          <w:u w:val="single"/>
          <w:lang w:val="en-GB"/>
        </w:rPr>
        <w:t>’s</w:t>
      </w:r>
      <w:r w:rsidR="008A45F0" w:rsidRPr="00C4534A">
        <w:rPr>
          <w:rFonts w:eastAsia="Arial"/>
          <w:b/>
          <w:sz w:val="24"/>
          <w:szCs w:val="24"/>
          <w:u w:val="single"/>
          <w:lang w:val="en-GB"/>
        </w:rPr>
        <w:t xml:space="preserve"> A</w:t>
      </w:r>
      <w:r w:rsidR="004A4C04" w:rsidRPr="00C4534A">
        <w:rPr>
          <w:rFonts w:eastAsia="Arial"/>
          <w:b/>
          <w:sz w:val="24"/>
          <w:szCs w:val="24"/>
          <w:u w:val="single"/>
          <w:lang w:val="en-GB"/>
        </w:rPr>
        <w:t xml:space="preserve">pproach to </w:t>
      </w:r>
      <w:r w:rsidR="008A45F0" w:rsidRPr="00C4534A">
        <w:rPr>
          <w:rFonts w:eastAsia="Arial"/>
          <w:b/>
          <w:sz w:val="24"/>
          <w:szCs w:val="24"/>
          <w:u w:val="single"/>
          <w:lang w:val="en-GB"/>
        </w:rPr>
        <w:t>P</w:t>
      </w:r>
      <w:r w:rsidR="004A4C04" w:rsidRPr="00C4534A">
        <w:rPr>
          <w:rFonts w:eastAsia="Arial"/>
          <w:b/>
          <w:sz w:val="24"/>
          <w:szCs w:val="24"/>
          <w:u w:val="single"/>
          <w:lang w:val="en-GB"/>
        </w:rPr>
        <w:t xml:space="preserve">rocurement </w:t>
      </w:r>
    </w:p>
    <w:p w:rsidR="004A4C04" w:rsidRPr="007B7BAC" w:rsidRDefault="004A4C04" w:rsidP="00C4534A">
      <w:pPr>
        <w:rPr>
          <w:rFonts w:eastAsia="Arial"/>
          <w:sz w:val="28"/>
          <w:szCs w:val="28"/>
          <w:lang w:val="en-GB"/>
        </w:rPr>
      </w:pPr>
    </w:p>
    <w:p w:rsidR="00A73134" w:rsidRDefault="00D77801" w:rsidP="00C4534A">
      <w:pPr>
        <w:pStyle w:val="Heading1"/>
        <w:numPr>
          <w:ilvl w:val="1"/>
          <w:numId w:val="22"/>
        </w:numPr>
        <w:ind w:left="567" w:hanging="567"/>
        <w:rPr>
          <w:rFonts w:eastAsia="Arial"/>
          <w:sz w:val="24"/>
          <w:szCs w:val="24"/>
        </w:rPr>
      </w:pPr>
      <w:bookmarkStart w:id="8" w:name="_Toc454455968"/>
      <w:r w:rsidRPr="001F0C8E">
        <w:rPr>
          <w:rFonts w:eastAsia="Arial"/>
          <w:sz w:val="24"/>
          <w:szCs w:val="24"/>
        </w:rPr>
        <w:t>Introduction</w:t>
      </w:r>
      <w:bookmarkEnd w:id="2"/>
      <w:bookmarkEnd w:id="8"/>
    </w:p>
    <w:p w:rsidR="001F0C8E" w:rsidRPr="001F0C8E" w:rsidRDefault="001F0C8E" w:rsidP="00C4534A">
      <w:pPr>
        <w:rPr>
          <w:rFonts w:eastAsia="Arial"/>
          <w:lang w:val="en-GB"/>
        </w:rPr>
      </w:pPr>
    </w:p>
    <w:p w:rsidR="00B315F5" w:rsidRPr="000D0745" w:rsidRDefault="00EF2A68" w:rsidP="00C4534A">
      <w:pPr>
        <w:pStyle w:val="Normal1"/>
        <w:ind w:left="567"/>
        <w:rPr>
          <w:rFonts w:ascii="Arial" w:hAnsi="Arial" w:cs="Arial"/>
        </w:rPr>
      </w:pPr>
      <w:r>
        <w:rPr>
          <w:rFonts w:ascii="Arial" w:hAnsi="Arial" w:cs="Arial"/>
          <w:lang w:val="en"/>
        </w:rPr>
        <w:t>S</w:t>
      </w:r>
      <w:r w:rsidR="00D77801" w:rsidRPr="000D0745">
        <w:rPr>
          <w:rFonts w:ascii="Arial" w:hAnsi="Arial" w:cs="Arial"/>
          <w:lang w:val="en"/>
        </w:rPr>
        <w:t xml:space="preserve">CCG comprises </w:t>
      </w:r>
      <w:r w:rsidR="00650684" w:rsidRPr="000D0745">
        <w:rPr>
          <w:rFonts w:ascii="Arial" w:hAnsi="Arial" w:cs="Arial"/>
          <w:lang w:val="en"/>
        </w:rPr>
        <w:t>8</w:t>
      </w:r>
      <w:r w:rsidR="00650684">
        <w:rPr>
          <w:rFonts w:ascii="Arial" w:hAnsi="Arial" w:cs="Arial"/>
          <w:lang w:val="en"/>
        </w:rPr>
        <w:t>2</w:t>
      </w:r>
      <w:r w:rsidR="00650684" w:rsidRPr="000D0745">
        <w:rPr>
          <w:rFonts w:ascii="Arial" w:hAnsi="Arial" w:cs="Arial"/>
          <w:lang w:val="en"/>
        </w:rPr>
        <w:t xml:space="preserve"> </w:t>
      </w:r>
      <w:r w:rsidR="00D77801" w:rsidRPr="000D0745">
        <w:rPr>
          <w:rFonts w:ascii="Arial" w:hAnsi="Arial" w:cs="Arial"/>
          <w:lang w:val="en"/>
        </w:rPr>
        <w:t xml:space="preserve">GP practices and is fully authorised as the statutory organisation with responsibility for commissioning (buying) many of the healthcare services for the Sheffield population of approximately </w:t>
      </w:r>
      <w:r w:rsidR="00382B37">
        <w:rPr>
          <w:rFonts w:ascii="Arial" w:hAnsi="Arial" w:cs="Arial"/>
          <w:lang w:val="en"/>
        </w:rPr>
        <w:t>601</w:t>
      </w:r>
      <w:r w:rsidR="00D77801" w:rsidRPr="000D0745">
        <w:rPr>
          <w:rFonts w:ascii="Arial" w:hAnsi="Arial" w:cs="Arial"/>
          <w:lang w:val="en"/>
        </w:rPr>
        <w:t>,000 people. To maximise our ability to commission the highest quality services within the available resource allocation we work jointly with a range of partners which include,</w:t>
      </w:r>
      <w:r w:rsidR="00D77801" w:rsidRPr="000D0745">
        <w:rPr>
          <w:rFonts w:ascii="Arial" w:hAnsi="Arial" w:cs="Arial"/>
        </w:rPr>
        <w:t xml:space="preserve"> NHS England, Sheffield </w:t>
      </w:r>
      <w:r w:rsidR="00B35893" w:rsidRPr="000D0745">
        <w:rPr>
          <w:rFonts w:ascii="Arial" w:hAnsi="Arial" w:cs="Arial"/>
        </w:rPr>
        <w:t xml:space="preserve">City </w:t>
      </w:r>
      <w:r w:rsidR="00D77801" w:rsidRPr="000D0745">
        <w:rPr>
          <w:rFonts w:ascii="Arial" w:hAnsi="Arial" w:cs="Arial"/>
        </w:rPr>
        <w:t>Council, local health providers and the Voluntary Sector.</w:t>
      </w:r>
      <w:r w:rsidR="00B315F5" w:rsidRPr="000D0745">
        <w:rPr>
          <w:rFonts w:ascii="Arial" w:hAnsi="Arial" w:cs="Arial"/>
        </w:rPr>
        <w:t xml:space="preserve"> As a CCG we are working to deliver an NHS that is fair, personalised, effective, </w:t>
      </w:r>
      <w:proofErr w:type="gramStart"/>
      <w:r w:rsidR="00B315F5" w:rsidRPr="000D0745">
        <w:rPr>
          <w:rFonts w:ascii="Arial" w:hAnsi="Arial" w:cs="Arial"/>
        </w:rPr>
        <w:t>safe</w:t>
      </w:r>
      <w:proofErr w:type="gramEnd"/>
      <w:r w:rsidR="00B315F5" w:rsidRPr="000D0745">
        <w:rPr>
          <w:rFonts w:ascii="Arial" w:hAnsi="Arial" w:cs="Arial"/>
        </w:rPr>
        <w:t xml:space="preserve"> and provides effective choices for the population of Sheffield. </w:t>
      </w:r>
    </w:p>
    <w:p w:rsidR="00D77801" w:rsidRPr="000D0745" w:rsidRDefault="00D77801" w:rsidP="00C4534A">
      <w:pPr>
        <w:ind w:left="567"/>
        <w:rPr>
          <w:rFonts w:cs="Arial"/>
          <w:sz w:val="24"/>
          <w:szCs w:val="24"/>
          <w:lang w:val="en-GB"/>
        </w:rPr>
      </w:pPr>
    </w:p>
    <w:p w:rsidR="00D77801" w:rsidRPr="000D0745" w:rsidRDefault="00CE5644" w:rsidP="00C4534A">
      <w:pPr>
        <w:ind w:left="567"/>
        <w:rPr>
          <w:sz w:val="24"/>
          <w:szCs w:val="24"/>
          <w:lang w:val="en-GB"/>
        </w:rPr>
      </w:pPr>
      <w:r w:rsidRPr="000D0745">
        <w:rPr>
          <w:sz w:val="24"/>
          <w:szCs w:val="24"/>
          <w:lang w:val="en-GB"/>
        </w:rPr>
        <w:t xml:space="preserve">To ensure we commission services fairly and transparently </w:t>
      </w:r>
      <w:r w:rsidR="00EF2A68">
        <w:rPr>
          <w:sz w:val="24"/>
          <w:szCs w:val="24"/>
          <w:lang w:val="en-GB"/>
        </w:rPr>
        <w:t>SCCG</w:t>
      </w:r>
      <w:r w:rsidR="00D77801" w:rsidRPr="000D0745">
        <w:rPr>
          <w:sz w:val="24"/>
          <w:szCs w:val="24"/>
          <w:lang w:val="en-GB"/>
        </w:rPr>
        <w:t xml:space="preserve"> will comply with </w:t>
      </w:r>
      <w:r w:rsidR="00E25595">
        <w:rPr>
          <w:sz w:val="24"/>
          <w:szCs w:val="24"/>
          <w:lang w:val="en-GB"/>
        </w:rPr>
        <w:t>procurement and competition law.</w:t>
      </w:r>
    </w:p>
    <w:p w:rsidR="00CE5644" w:rsidRPr="000D0745" w:rsidRDefault="00CE5644" w:rsidP="00C4534A">
      <w:pPr>
        <w:ind w:left="567"/>
        <w:rPr>
          <w:sz w:val="24"/>
          <w:szCs w:val="24"/>
          <w:lang w:val="en-GB"/>
        </w:rPr>
      </w:pPr>
    </w:p>
    <w:p w:rsidR="00D77801" w:rsidRPr="000D0745" w:rsidRDefault="00D77801" w:rsidP="00C4534A">
      <w:pPr>
        <w:ind w:left="567"/>
        <w:rPr>
          <w:sz w:val="24"/>
          <w:szCs w:val="24"/>
          <w:lang w:val="en-GB"/>
        </w:rPr>
      </w:pPr>
      <w:r w:rsidRPr="000D0745">
        <w:rPr>
          <w:sz w:val="24"/>
          <w:szCs w:val="24"/>
          <w:lang w:val="en-GB"/>
        </w:rPr>
        <w:t>The overarching principles of public procurement within the NHS are as follows:</w:t>
      </w:r>
    </w:p>
    <w:p w:rsidR="00D77801" w:rsidRPr="000D0745" w:rsidRDefault="00D77801" w:rsidP="00C4534A">
      <w:pPr>
        <w:rPr>
          <w:sz w:val="24"/>
          <w:szCs w:val="24"/>
          <w:lang w:val="en-GB"/>
        </w:rPr>
      </w:pPr>
    </w:p>
    <w:p w:rsidR="00D77801" w:rsidRPr="001F0C8E" w:rsidRDefault="00D77801" w:rsidP="00C4534A">
      <w:pPr>
        <w:numPr>
          <w:ilvl w:val="0"/>
          <w:numId w:val="23"/>
        </w:numPr>
        <w:ind w:left="993" w:hanging="426"/>
        <w:rPr>
          <w:sz w:val="24"/>
          <w:szCs w:val="24"/>
          <w:lang w:val="en-GB"/>
        </w:rPr>
      </w:pPr>
      <w:r w:rsidRPr="000D0745">
        <w:rPr>
          <w:b/>
          <w:sz w:val="24"/>
          <w:szCs w:val="24"/>
          <w:lang w:val="en-GB"/>
        </w:rPr>
        <w:t>Transparency</w:t>
      </w:r>
      <w:r w:rsidRPr="000D0745">
        <w:rPr>
          <w:sz w:val="24"/>
          <w:szCs w:val="24"/>
          <w:lang w:val="en-GB"/>
        </w:rPr>
        <w:t xml:space="preserve"> – Commissioners </w:t>
      </w:r>
      <w:r w:rsidR="00AA2D5C">
        <w:rPr>
          <w:sz w:val="24"/>
          <w:szCs w:val="24"/>
          <w:lang w:val="en-GB"/>
        </w:rPr>
        <w:t xml:space="preserve">are </w:t>
      </w:r>
      <w:r w:rsidRPr="000D0745">
        <w:rPr>
          <w:sz w:val="24"/>
          <w:szCs w:val="24"/>
          <w:lang w:val="en-GB"/>
        </w:rPr>
        <w:t>require</w:t>
      </w:r>
      <w:r w:rsidR="00AA2D5C">
        <w:rPr>
          <w:sz w:val="24"/>
          <w:szCs w:val="24"/>
          <w:lang w:val="en-GB"/>
        </w:rPr>
        <w:t>d</w:t>
      </w:r>
      <w:r w:rsidRPr="000D0745">
        <w:rPr>
          <w:sz w:val="24"/>
          <w:szCs w:val="24"/>
          <w:lang w:val="en-GB"/>
        </w:rPr>
        <w:t xml:space="preserve"> to publish procurement strategies and intentions to procure, </w:t>
      </w:r>
      <w:r w:rsidR="00AA2D5C">
        <w:rPr>
          <w:sz w:val="24"/>
          <w:szCs w:val="24"/>
          <w:lang w:val="en-GB"/>
        </w:rPr>
        <w:t xml:space="preserve">provide </w:t>
      </w:r>
      <w:r w:rsidRPr="000D0745">
        <w:rPr>
          <w:sz w:val="24"/>
          <w:szCs w:val="24"/>
          <w:lang w:val="en-GB"/>
        </w:rPr>
        <w:t xml:space="preserve">feedback to unsuccessful bidders, </w:t>
      </w:r>
      <w:r w:rsidR="00AA2D5C">
        <w:rPr>
          <w:sz w:val="24"/>
          <w:szCs w:val="24"/>
          <w:lang w:val="en-GB"/>
        </w:rPr>
        <w:t xml:space="preserve">publish </w:t>
      </w:r>
      <w:r w:rsidRPr="000D0745">
        <w:rPr>
          <w:sz w:val="24"/>
          <w:szCs w:val="24"/>
          <w:lang w:val="en-GB"/>
        </w:rPr>
        <w:t>details of awarded contracts</w:t>
      </w:r>
      <w:r w:rsidR="00AA2D5C">
        <w:rPr>
          <w:sz w:val="24"/>
          <w:szCs w:val="24"/>
          <w:lang w:val="en-GB"/>
        </w:rPr>
        <w:t xml:space="preserve"> and</w:t>
      </w:r>
      <w:r w:rsidRPr="000D0745">
        <w:rPr>
          <w:sz w:val="24"/>
          <w:szCs w:val="24"/>
          <w:lang w:val="en-GB"/>
        </w:rPr>
        <w:t xml:space="preserve"> maintain records which demonstrate how </w:t>
      </w:r>
      <w:r w:rsidR="00DC2426">
        <w:rPr>
          <w:sz w:val="24"/>
          <w:szCs w:val="24"/>
          <w:lang w:val="en-GB"/>
        </w:rPr>
        <w:t xml:space="preserve">procurement decisions </w:t>
      </w:r>
      <w:r w:rsidR="004011C0">
        <w:rPr>
          <w:sz w:val="24"/>
          <w:szCs w:val="24"/>
          <w:lang w:val="en-GB"/>
        </w:rPr>
        <w:t xml:space="preserve">have been </w:t>
      </w:r>
      <w:r w:rsidR="00DC2426">
        <w:rPr>
          <w:sz w:val="24"/>
          <w:szCs w:val="24"/>
          <w:lang w:val="en-GB"/>
        </w:rPr>
        <w:t>made;</w:t>
      </w:r>
    </w:p>
    <w:p w:rsidR="00D77801" w:rsidRPr="000D0745" w:rsidRDefault="00D77801" w:rsidP="00C4534A">
      <w:pPr>
        <w:ind w:left="993" w:hanging="426"/>
        <w:rPr>
          <w:sz w:val="24"/>
          <w:szCs w:val="24"/>
          <w:lang w:val="en-GB"/>
        </w:rPr>
      </w:pPr>
    </w:p>
    <w:p w:rsidR="00D77801" w:rsidRPr="000D0745" w:rsidRDefault="00D77801" w:rsidP="00C4534A">
      <w:pPr>
        <w:numPr>
          <w:ilvl w:val="0"/>
          <w:numId w:val="23"/>
        </w:numPr>
        <w:ind w:left="993" w:hanging="426"/>
        <w:rPr>
          <w:vanish/>
          <w:sz w:val="24"/>
          <w:szCs w:val="24"/>
          <w:lang w:val="en-GB"/>
          <w:specVanish/>
        </w:rPr>
      </w:pPr>
      <w:r w:rsidRPr="000D0745">
        <w:rPr>
          <w:b/>
          <w:sz w:val="24"/>
          <w:szCs w:val="24"/>
          <w:lang w:val="en-GB"/>
        </w:rPr>
        <w:t>Proportionality</w:t>
      </w:r>
      <w:r w:rsidRPr="000D0745">
        <w:rPr>
          <w:sz w:val="24"/>
          <w:szCs w:val="24"/>
          <w:lang w:val="en-GB"/>
        </w:rPr>
        <w:t xml:space="preserve"> – The level of capacity and resource involved in the procurement process both on behalf of the commissioner and the potential providers in relation to the value and complexity of the service being procured</w:t>
      </w:r>
      <w:r w:rsidR="00AA2D5C">
        <w:rPr>
          <w:sz w:val="24"/>
          <w:szCs w:val="24"/>
          <w:lang w:val="en-GB"/>
        </w:rPr>
        <w:t xml:space="preserve"> must be proportionate</w:t>
      </w:r>
      <w:r w:rsidR="00DC2426">
        <w:rPr>
          <w:sz w:val="24"/>
          <w:szCs w:val="24"/>
          <w:lang w:val="en-GB"/>
        </w:rPr>
        <w:t>; and</w:t>
      </w:r>
    </w:p>
    <w:p w:rsidR="00D77801" w:rsidRPr="000D0745" w:rsidRDefault="00D77801" w:rsidP="00C4534A">
      <w:pPr>
        <w:ind w:left="993" w:hanging="426"/>
        <w:rPr>
          <w:sz w:val="24"/>
          <w:szCs w:val="24"/>
          <w:lang w:val="en-GB"/>
        </w:rPr>
      </w:pPr>
    </w:p>
    <w:p w:rsidR="006A7947" w:rsidRPr="000D0745" w:rsidRDefault="006A7947" w:rsidP="00C4534A">
      <w:pPr>
        <w:ind w:left="993" w:hanging="426"/>
        <w:rPr>
          <w:sz w:val="24"/>
          <w:szCs w:val="24"/>
          <w:lang w:val="en-GB"/>
        </w:rPr>
      </w:pPr>
    </w:p>
    <w:p w:rsidR="00D77801" w:rsidRPr="000D0745" w:rsidRDefault="00D77801" w:rsidP="00C4534A">
      <w:pPr>
        <w:numPr>
          <w:ilvl w:val="0"/>
          <w:numId w:val="23"/>
        </w:numPr>
        <w:ind w:left="993" w:hanging="426"/>
        <w:rPr>
          <w:sz w:val="24"/>
          <w:szCs w:val="24"/>
          <w:lang w:val="en-GB"/>
        </w:rPr>
      </w:pPr>
      <w:r w:rsidRPr="000D0745">
        <w:rPr>
          <w:b/>
          <w:sz w:val="24"/>
          <w:szCs w:val="24"/>
          <w:lang w:val="en-GB"/>
        </w:rPr>
        <w:t>Equality/Non-discriminatory</w:t>
      </w:r>
      <w:r w:rsidRPr="000D0745">
        <w:rPr>
          <w:sz w:val="24"/>
          <w:szCs w:val="24"/>
          <w:lang w:val="en-GB"/>
        </w:rPr>
        <w:t xml:space="preserve"> – The duty to treat all potential providers equally. This could include engagement with providers on service design</w:t>
      </w:r>
      <w:r w:rsidR="00C4534A">
        <w:rPr>
          <w:sz w:val="24"/>
          <w:szCs w:val="24"/>
          <w:lang w:val="en-GB"/>
        </w:rPr>
        <w:t xml:space="preserve"> </w:t>
      </w:r>
      <w:r w:rsidR="00F079FB">
        <w:rPr>
          <w:sz w:val="24"/>
          <w:szCs w:val="24"/>
          <w:lang w:val="en-GB"/>
        </w:rPr>
        <w:t>t</w:t>
      </w:r>
      <w:r w:rsidRPr="000D0745">
        <w:rPr>
          <w:sz w:val="24"/>
          <w:szCs w:val="24"/>
          <w:lang w:val="en-GB"/>
        </w:rPr>
        <w:t>o ensure service spec</w:t>
      </w:r>
      <w:r w:rsidR="00F079FB">
        <w:rPr>
          <w:sz w:val="24"/>
          <w:szCs w:val="24"/>
          <w:lang w:val="en-GB"/>
        </w:rPr>
        <w:t>ifications have</w:t>
      </w:r>
      <w:r w:rsidRPr="000D0745">
        <w:rPr>
          <w:sz w:val="24"/>
          <w:szCs w:val="24"/>
          <w:lang w:val="en-GB"/>
        </w:rPr>
        <w:t xml:space="preserve"> not been designed to exclude certain providers </w:t>
      </w:r>
      <w:r w:rsidR="00F079FB">
        <w:rPr>
          <w:sz w:val="24"/>
          <w:szCs w:val="24"/>
          <w:lang w:val="en-GB"/>
        </w:rPr>
        <w:t xml:space="preserve">and </w:t>
      </w:r>
      <w:r w:rsidRPr="000D0745">
        <w:rPr>
          <w:sz w:val="24"/>
          <w:szCs w:val="24"/>
          <w:lang w:val="en-GB"/>
        </w:rPr>
        <w:t xml:space="preserve">the deadline for </w:t>
      </w:r>
      <w:r w:rsidR="004011C0">
        <w:rPr>
          <w:sz w:val="24"/>
          <w:szCs w:val="24"/>
          <w:lang w:val="en-GB"/>
        </w:rPr>
        <w:t xml:space="preserve">tender </w:t>
      </w:r>
      <w:r w:rsidRPr="000D0745">
        <w:rPr>
          <w:sz w:val="24"/>
          <w:szCs w:val="24"/>
          <w:lang w:val="en-GB"/>
        </w:rPr>
        <w:t>submissions ha</w:t>
      </w:r>
      <w:r w:rsidR="004011C0">
        <w:rPr>
          <w:sz w:val="24"/>
          <w:szCs w:val="24"/>
          <w:lang w:val="en-GB"/>
        </w:rPr>
        <w:t>s</w:t>
      </w:r>
      <w:r w:rsidRPr="000D0745">
        <w:rPr>
          <w:sz w:val="24"/>
          <w:szCs w:val="24"/>
          <w:lang w:val="en-GB"/>
        </w:rPr>
        <w:t xml:space="preserve"> not been set to favour certain providers. </w:t>
      </w:r>
    </w:p>
    <w:p w:rsidR="00D77801" w:rsidRPr="000D0745" w:rsidRDefault="00D77801" w:rsidP="00C4534A">
      <w:pPr>
        <w:rPr>
          <w:sz w:val="24"/>
          <w:szCs w:val="24"/>
          <w:lang w:val="en-GB"/>
        </w:rPr>
      </w:pPr>
    </w:p>
    <w:p w:rsidR="004011C0" w:rsidRDefault="00CE5644" w:rsidP="00C4534A">
      <w:pPr>
        <w:ind w:left="567"/>
        <w:rPr>
          <w:sz w:val="24"/>
          <w:szCs w:val="24"/>
          <w:lang w:val="en-GB"/>
        </w:rPr>
      </w:pPr>
      <w:r w:rsidRPr="000D0745">
        <w:rPr>
          <w:sz w:val="24"/>
          <w:szCs w:val="24"/>
          <w:lang w:val="en-GB"/>
        </w:rPr>
        <w:t xml:space="preserve">Where appropriate </w:t>
      </w:r>
      <w:r w:rsidR="00847A38">
        <w:rPr>
          <w:sz w:val="24"/>
          <w:szCs w:val="24"/>
          <w:lang w:val="en-GB"/>
        </w:rPr>
        <w:t>S</w:t>
      </w:r>
      <w:r w:rsidR="00D77801" w:rsidRPr="000D0745">
        <w:rPr>
          <w:sz w:val="24"/>
          <w:szCs w:val="24"/>
          <w:lang w:val="en-GB"/>
        </w:rPr>
        <w:t>CCG</w:t>
      </w:r>
      <w:r w:rsidR="006A7947" w:rsidRPr="000D0745">
        <w:rPr>
          <w:sz w:val="24"/>
          <w:szCs w:val="24"/>
          <w:lang w:val="en-GB"/>
        </w:rPr>
        <w:t xml:space="preserve"> will work</w:t>
      </w:r>
      <w:r w:rsidRPr="000D0745">
        <w:rPr>
          <w:sz w:val="24"/>
          <w:szCs w:val="24"/>
          <w:lang w:val="en-GB"/>
        </w:rPr>
        <w:t xml:space="preserve"> collaboratively</w:t>
      </w:r>
      <w:r w:rsidR="00D77801" w:rsidRPr="000D0745">
        <w:rPr>
          <w:sz w:val="24"/>
          <w:szCs w:val="24"/>
          <w:lang w:val="en-GB"/>
        </w:rPr>
        <w:t xml:space="preserve"> across the wider </w:t>
      </w:r>
      <w:r w:rsidR="00B35893" w:rsidRPr="000D0745">
        <w:rPr>
          <w:sz w:val="24"/>
          <w:szCs w:val="24"/>
          <w:lang w:val="en-GB"/>
        </w:rPr>
        <w:t>h</w:t>
      </w:r>
      <w:r w:rsidRPr="000D0745">
        <w:rPr>
          <w:sz w:val="24"/>
          <w:szCs w:val="24"/>
          <w:lang w:val="en-GB"/>
        </w:rPr>
        <w:t>ealth economy to jointly commission and procure services</w:t>
      </w:r>
      <w:r w:rsidR="00D77801" w:rsidRPr="000D0745">
        <w:rPr>
          <w:sz w:val="24"/>
          <w:szCs w:val="24"/>
          <w:lang w:val="en-GB"/>
        </w:rPr>
        <w:t xml:space="preserve">. </w:t>
      </w:r>
      <w:r w:rsidR="00847A38">
        <w:rPr>
          <w:sz w:val="24"/>
          <w:szCs w:val="24"/>
          <w:lang w:val="en-GB"/>
        </w:rPr>
        <w:t>S</w:t>
      </w:r>
      <w:r w:rsidR="00D77801" w:rsidRPr="000D0745">
        <w:rPr>
          <w:sz w:val="24"/>
          <w:szCs w:val="24"/>
          <w:lang w:val="en-GB"/>
        </w:rPr>
        <w:t xml:space="preserve">CCG will actively participate </w:t>
      </w:r>
      <w:r w:rsidR="00DC2426">
        <w:rPr>
          <w:sz w:val="24"/>
          <w:szCs w:val="24"/>
          <w:lang w:val="en-GB"/>
        </w:rPr>
        <w:t>in</w:t>
      </w:r>
      <w:r w:rsidR="00D77801" w:rsidRPr="000D0745">
        <w:rPr>
          <w:sz w:val="24"/>
          <w:szCs w:val="24"/>
          <w:lang w:val="en-GB"/>
        </w:rPr>
        <w:t xml:space="preserve"> </w:t>
      </w:r>
      <w:r w:rsidR="004011C0">
        <w:rPr>
          <w:sz w:val="24"/>
          <w:szCs w:val="24"/>
          <w:lang w:val="en-GB"/>
        </w:rPr>
        <w:t>projects/programmes</w:t>
      </w:r>
      <w:r w:rsidR="004011C0" w:rsidRPr="000D0745">
        <w:rPr>
          <w:sz w:val="24"/>
          <w:szCs w:val="24"/>
          <w:lang w:val="en-GB"/>
        </w:rPr>
        <w:t xml:space="preserve"> </w:t>
      </w:r>
      <w:r w:rsidR="00D77801" w:rsidRPr="000D0745">
        <w:rPr>
          <w:sz w:val="24"/>
          <w:szCs w:val="24"/>
          <w:lang w:val="en-GB"/>
        </w:rPr>
        <w:t>where there are benefits</w:t>
      </w:r>
      <w:r w:rsidRPr="000D0745">
        <w:rPr>
          <w:sz w:val="24"/>
          <w:szCs w:val="24"/>
          <w:lang w:val="en-GB"/>
        </w:rPr>
        <w:t xml:space="preserve"> to the Sheffield population</w:t>
      </w:r>
      <w:r w:rsidR="00D77801" w:rsidRPr="000D0745">
        <w:rPr>
          <w:sz w:val="24"/>
          <w:szCs w:val="24"/>
          <w:lang w:val="en-GB"/>
        </w:rPr>
        <w:t xml:space="preserve">, including </w:t>
      </w:r>
      <w:r w:rsidR="00F079FB">
        <w:rPr>
          <w:sz w:val="24"/>
          <w:szCs w:val="24"/>
          <w:lang w:val="en-GB"/>
        </w:rPr>
        <w:t xml:space="preserve">the </w:t>
      </w:r>
      <w:r w:rsidR="00D77801" w:rsidRPr="000D0745">
        <w:rPr>
          <w:sz w:val="24"/>
          <w:szCs w:val="24"/>
          <w:lang w:val="en-GB"/>
        </w:rPr>
        <w:t>reduction of procurement costs and increased leverage with providers, by acting regionally.</w:t>
      </w:r>
      <w:r w:rsidRPr="000D0745">
        <w:rPr>
          <w:sz w:val="24"/>
          <w:szCs w:val="24"/>
          <w:lang w:val="en-GB"/>
        </w:rPr>
        <w:t xml:space="preserve"> </w:t>
      </w:r>
    </w:p>
    <w:p w:rsidR="004011C0" w:rsidRDefault="004011C0" w:rsidP="00C4534A">
      <w:pPr>
        <w:ind w:left="567"/>
        <w:rPr>
          <w:sz w:val="24"/>
          <w:szCs w:val="24"/>
          <w:lang w:val="en-GB"/>
        </w:rPr>
      </w:pPr>
    </w:p>
    <w:p w:rsidR="00926F39" w:rsidRPr="000D0745" w:rsidRDefault="00847A38" w:rsidP="00C4534A">
      <w:pPr>
        <w:ind w:left="567"/>
        <w:rPr>
          <w:sz w:val="24"/>
          <w:szCs w:val="24"/>
          <w:lang w:val="en-GB"/>
        </w:rPr>
      </w:pPr>
      <w:r>
        <w:rPr>
          <w:sz w:val="24"/>
          <w:szCs w:val="24"/>
          <w:lang w:val="en-GB"/>
        </w:rPr>
        <w:t>S</w:t>
      </w:r>
      <w:r w:rsidR="00CE5644" w:rsidRPr="000D0745">
        <w:rPr>
          <w:sz w:val="24"/>
          <w:szCs w:val="24"/>
          <w:lang w:val="en-GB"/>
        </w:rPr>
        <w:t xml:space="preserve">CCG purchases all specialist procurement advice from </w:t>
      </w:r>
      <w:r w:rsidR="004011C0">
        <w:rPr>
          <w:sz w:val="24"/>
          <w:szCs w:val="24"/>
          <w:lang w:val="en-GB"/>
        </w:rPr>
        <w:t>the NHS South Yorkshire Procurement Service</w:t>
      </w:r>
    </w:p>
    <w:p w:rsidR="00926F39" w:rsidRPr="000D0745" w:rsidRDefault="00926F39" w:rsidP="00C4534A">
      <w:pPr>
        <w:rPr>
          <w:b/>
          <w:sz w:val="24"/>
          <w:szCs w:val="24"/>
          <w:lang w:val="en-GB"/>
        </w:rPr>
      </w:pPr>
    </w:p>
    <w:p w:rsidR="00B315F5" w:rsidRPr="001F0C8E" w:rsidRDefault="00B315F5" w:rsidP="00C4534A">
      <w:pPr>
        <w:pStyle w:val="Heading1"/>
        <w:numPr>
          <w:ilvl w:val="1"/>
          <w:numId w:val="22"/>
        </w:numPr>
        <w:ind w:left="567" w:hanging="567"/>
        <w:rPr>
          <w:rFonts w:eastAsia="Arial"/>
          <w:sz w:val="24"/>
          <w:szCs w:val="24"/>
        </w:rPr>
      </w:pPr>
      <w:bookmarkStart w:id="9" w:name="_Toc363823742"/>
      <w:bookmarkStart w:id="10" w:name="_Toc454455969"/>
      <w:r w:rsidRPr="001F0C8E">
        <w:rPr>
          <w:rFonts w:eastAsia="Arial"/>
          <w:sz w:val="24"/>
          <w:szCs w:val="24"/>
        </w:rPr>
        <w:t>NHS Sheffield CCG</w:t>
      </w:r>
      <w:r w:rsidR="009E5082">
        <w:rPr>
          <w:rFonts w:eastAsia="Arial"/>
          <w:sz w:val="24"/>
          <w:szCs w:val="24"/>
        </w:rPr>
        <w:t>’s</w:t>
      </w:r>
      <w:r w:rsidRPr="001F0C8E">
        <w:rPr>
          <w:rFonts w:eastAsia="Arial"/>
          <w:sz w:val="24"/>
          <w:szCs w:val="24"/>
        </w:rPr>
        <w:t xml:space="preserve"> Constitution</w:t>
      </w:r>
      <w:bookmarkEnd w:id="9"/>
      <w:bookmarkEnd w:id="10"/>
    </w:p>
    <w:p w:rsidR="001F0C8E" w:rsidRPr="001F0C8E" w:rsidRDefault="001F0C8E" w:rsidP="00C4534A">
      <w:pPr>
        <w:ind w:left="405"/>
        <w:rPr>
          <w:lang w:val="en-GB"/>
        </w:rPr>
      </w:pPr>
    </w:p>
    <w:p w:rsidR="00B315F5" w:rsidRPr="000D0745" w:rsidRDefault="00B315F5" w:rsidP="00C4534A">
      <w:pPr>
        <w:ind w:left="567"/>
        <w:rPr>
          <w:sz w:val="24"/>
          <w:szCs w:val="24"/>
          <w:lang w:val="en-GB"/>
        </w:rPr>
      </w:pPr>
      <w:r w:rsidRPr="000D0745">
        <w:rPr>
          <w:sz w:val="24"/>
          <w:szCs w:val="24"/>
          <w:lang w:val="en-GB"/>
        </w:rPr>
        <w:t>We aim to be an organisation capable of commissioning high quality services in an affordable and sustainable local health system.</w:t>
      </w:r>
    </w:p>
    <w:p w:rsidR="00B315F5" w:rsidRPr="000D0745" w:rsidRDefault="00B315F5" w:rsidP="00C4534A">
      <w:pPr>
        <w:ind w:left="567"/>
        <w:rPr>
          <w:sz w:val="24"/>
          <w:szCs w:val="24"/>
          <w:lang w:val="en-GB"/>
        </w:rPr>
      </w:pPr>
    </w:p>
    <w:p w:rsidR="00B315F5" w:rsidRPr="000D0745" w:rsidRDefault="00B315F5" w:rsidP="00C4534A">
      <w:pPr>
        <w:ind w:left="567"/>
        <w:rPr>
          <w:sz w:val="24"/>
          <w:szCs w:val="24"/>
          <w:lang w:val="en-GB"/>
        </w:rPr>
      </w:pPr>
      <w:r w:rsidRPr="000D0745">
        <w:rPr>
          <w:sz w:val="24"/>
          <w:szCs w:val="24"/>
          <w:lang w:val="en-GB"/>
        </w:rPr>
        <w:t xml:space="preserve">The </w:t>
      </w:r>
      <w:r w:rsidR="00847A38">
        <w:rPr>
          <w:sz w:val="24"/>
          <w:szCs w:val="24"/>
          <w:lang w:val="en-GB"/>
        </w:rPr>
        <w:t>S</w:t>
      </w:r>
      <w:r w:rsidRPr="000D0745">
        <w:rPr>
          <w:sz w:val="24"/>
          <w:szCs w:val="24"/>
          <w:lang w:val="en-GB"/>
        </w:rPr>
        <w:t xml:space="preserve">CCG </w:t>
      </w:r>
      <w:r w:rsidR="00BD7923">
        <w:rPr>
          <w:sz w:val="24"/>
          <w:szCs w:val="24"/>
          <w:lang w:val="en-GB"/>
        </w:rPr>
        <w:t>C</w:t>
      </w:r>
      <w:r w:rsidRPr="000D0745">
        <w:rPr>
          <w:sz w:val="24"/>
          <w:szCs w:val="24"/>
          <w:lang w:val="en-GB"/>
        </w:rPr>
        <w:t>onstitution</w:t>
      </w:r>
      <w:r w:rsidRPr="001F0C8E">
        <w:rPr>
          <w:rStyle w:val="FootnoteReference"/>
          <w:sz w:val="20"/>
          <w:lang w:val="en-GB"/>
        </w:rPr>
        <w:footnoteReference w:id="4"/>
      </w:r>
      <w:r w:rsidRPr="001F0C8E">
        <w:rPr>
          <w:sz w:val="20"/>
          <w:lang w:val="en-GB"/>
        </w:rPr>
        <w:t xml:space="preserve"> </w:t>
      </w:r>
      <w:r w:rsidRPr="000D0745">
        <w:rPr>
          <w:sz w:val="24"/>
          <w:szCs w:val="24"/>
          <w:lang w:val="en-GB"/>
        </w:rPr>
        <w:t xml:space="preserve">sets out the arrangements made by </w:t>
      </w:r>
      <w:r w:rsidR="00847A38">
        <w:rPr>
          <w:sz w:val="24"/>
          <w:szCs w:val="24"/>
          <w:lang w:val="en-GB"/>
        </w:rPr>
        <w:t>S</w:t>
      </w:r>
      <w:r w:rsidR="00B35893" w:rsidRPr="000D0745">
        <w:rPr>
          <w:sz w:val="24"/>
          <w:szCs w:val="24"/>
          <w:lang w:val="en-GB"/>
        </w:rPr>
        <w:t xml:space="preserve">CCG </w:t>
      </w:r>
      <w:r w:rsidRPr="000D0745">
        <w:rPr>
          <w:sz w:val="24"/>
          <w:szCs w:val="24"/>
          <w:lang w:val="en-GB"/>
        </w:rPr>
        <w:t xml:space="preserve">to meet its responsibilities for commissioning care for the people to whom it is accountable. It describes the governing principles, rules and procedures that </w:t>
      </w:r>
      <w:r w:rsidR="00847A38">
        <w:rPr>
          <w:sz w:val="24"/>
          <w:szCs w:val="24"/>
          <w:lang w:val="en-GB"/>
        </w:rPr>
        <w:t>S</w:t>
      </w:r>
      <w:r w:rsidRPr="000D0745">
        <w:rPr>
          <w:sz w:val="24"/>
          <w:szCs w:val="24"/>
          <w:lang w:val="en-GB"/>
        </w:rPr>
        <w:t xml:space="preserve">CCG will establish to ensure probity and accountability in the day to day running of </w:t>
      </w:r>
      <w:r w:rsidR="00847A38">
        <w:rPr>
          <w:sz w:val="24"/>
          <w:szCs w:val="24"/>
          <w:lang w:val="en-GB"/>
        </w:rPr>
        <w:t>SCCG</w:t>
      </w:r>
      <w:r w:rsidR="00F57643">
        <w:rPr>
          <w:sz w:val="24"/>
          <w:szCs w:val="24"/>
          <w:lang w:val="en-GB"/>
        </w:rPr>
        <w:t>,</w:t>
      </w:r>
      <w:r w:rsidR="00F57643" w:rsidRPr="000D0745">
        <w:rPr>
          <w:sz w:val="24"/>
          <w:szCs w:val="24"/>
          <w:lang w:val="en-GB"/>
        </w:rPr>
        <w:t xml:space="preserve"> to</w:t>
      </w:r>
      <w:r w:rsidRPr="000D0745">
        <w:rPr>
          <w:sz w:val="24"/>
          <w:szCs w:val="24"/>
          <w:lang w:val="en-GB"/>
        </w:rPr>
        <w:t xml:space="preserve"> ensure that decisions are taken in an open and transparent way and that the interests of patients and the public remain central to our four priority aims</w:t>
      </w:r>
      <w:r w:rsidR="00BD7923">
        <w:rPr>
          <w:sz w:val="24"/>
          <w:szCs w:val="24"/>
          <w:lang w:val="en-GB"/>
        </w:rPr>
        <w:t xml:space="preserve"> which are</w:t>
      </w:r>
      <w:r w:rsidRPr="000D0745">
        <w:rPr>
          <w:sz w:val="24"/>
          <w:szCs w:val="24"/>
          <w:lang w:val="en-GB"/>
        </w:rPr>
        <w:t>:</w:t>
      </w:r>
    </w:p>
    <w:p w:rsidR="00B315F5" w:rsidRPr="000D0745" w:rsidRDefault="00B315F5" w:rsidP="00C4534A">
      <w:pPr>
        <w:rPr>
          <w:sz w:val="24"/>
          <w:szCs w:val="24"/>
          <w:lang w:val="en-GB"/>
        </w:rPr>
      </w:pPr>
    </w:p>
    <w:p w:rsidR="00B315F5" w:rsidRPr="000D0745" w:rsidRDefault="00B315F5" w:rsidP="00C4534A">
      <w:pPr>
        <w:numPr>
          <w:ilvl w:val="0"/>
          <w:numId w:val="2"/>
        </w:numPr>
        <w:ind w:left="993" w:hanging="426"/>
        <w:rPr>
          <w:sz w:val="24"/>
          <w:szCs w:val="24"/>
          <w:lang w:val="en-GB"/>
        </w:rPr>
      </w:pPr>
      <w:r w:rsidRPr="000D0745">
        <w:rPr>
          <w:sz w:val="24"/>
          <w:szCs w:val="24"/>
          <w:lang w:val="en-GB"/>
        </w:rPr>
        <w:t>To improve patient experience and access to care</w:t>
      </w:r>
      <w:r w:rsidR="001F0C8E">
        <w:rPr>
          <w:sz w:val="24"/>
          <w:szCs w:val="24"/>
          <w:lang w:val="en-GB"/>
        </w:rPr>
        <w:t>;</w:t>
      </w:r>
    </w:p>
    <w:p w:rsidR="00B315F5" w:rsidRPr="000D0745" w:rsidRDefault="00B315F5" w:rsidP="00C4534A">
      <w:pPr>
        <w:numPr>
          <w:ilvl w:val="0"/>
          <w:numId w:val="2"/>
        </w:numPr>
        <w:ind w:left="993" w:hanging="426"/>
        <w:rPr>
          <w:sz w:val="24"/>
          <w:szCs w:val="24"/>
          <w:lang w:val="en-GB"/>
        </w:rPr>
      </w:pPr>
      <w:r w:rsidRPr="000D0745">
        <w:rPr>
          <w:sz w:val="24"/>
          <w:szCs w:val="24"/>
          <w:lang w:val="en-GB"/>
        </w:rPr>
        <w:t>To improve the quality and equa</w:t>
      </w:r>
      <w:r w:rsidR="001F0C8E">
        <w:rPr>
          <w:sz w:val="24"/>
          <w:szCs w:val="24"/>
          <w:lang w:val="en-GB"/>
        </w:rPr>
        <w:t>lity of healthcare in Sheffield;</w:t>
      </w:r>
    </w:p>
    <w:p w:rsidR="00B315F5" w:rsidRPr="000D0745" w:rsidRDefault="00B315F5" w:rsidP="00C4534A">
      <w:pPr>
        <w:numPr>
          <w:ilvl w:val="0"/>
          <w:numId w:val="2"/>
        </w:numPr>
        <w:ind w:left="993" w:hanging="426"/>
        <w:rPr>
          <w:sz w:val="24"/>
          <w:szCs w:val="24"/>
          <w:lang w:val="en-GB"/>
        </w:rPr>
      </w:pPr>
      <w:r w:rsidRPr="000D0745">
        <w:rPr>
          <w:sz w:val="24"/>
          <w:szCs w:val="24"/>
          <w:lang w:val="en-GB"/>
        </w:rPr>
        <w:t>To work with the City Council to continue to reduce h</w:t>
      </w:r>
      <w:r w:rsidR="001F0C8E">
        <w:rPr>
          <w:sz w:val="24"/>
          <w:szCs w:val="24"/>
          <w:lang w:val="en-GB"/>
        </w:rPr>
        <w:t>ealth inequalities in Sheffield; and</w:t>
      </w:r>
    </w:p>
    <w:p w:rsidR="00B315F5" w:rsidRPr="000D0745" w:rsidRDefault="00B315F5" w:rsidP="00C4534A">
      <w:pPr>
        <w:numPr>
          <w:ilvl w:val="0"/>
          <w:numId w:val="2"/>
        </w:numPr>
        <w:ind w:left="993" w:hanging="426"/>
        <w:rPr>
          <w:sz w:val="24"/>
          <w:szCs w:val="24"/>
          <w:lang w:val="en-GB"/>
        </w:rPr>
      </w:pPr>
      <w:r w:rsidRPr="000D0745">
        <w:rPr>
          <w:sz w:val="24"/>
          <w:szCs w:val="24"/>
          <w:lang w:val="en-GB"/>
        </w:rPr>
        <w:t>To ensure there is a sustainable, affordable healthcare system in Sheffield</w:t>
      </w:r>
      <w:r w:rsidR="001F0C8E">
        <w:rPr>
          <w:sz w:val="24"/>
          <w:szCs w:val="24"/>
          <w:lang w:val="en-GB"/>
        </w:rPr>
        <w:t>.</w:t>
      </w:r>
    </w:p>
    <w:p w:rsidR="00B315F5" w:rsidRPr="000D0745" w:rsidRDefault="00B315F5" w:rsidP="00C4534A">
      <w:pPr>
        <w:rPr>
          <w:sz w:val="24"/>
          <w:szCs w:val="24"/>
          <w:lang w:val="en-GB"/>
        </w:rPr>
      </w:pPr>
    </w:p>
    <w:p w:rsidR="00B315F5" w:rsidRPr="000D0745" w:rsidRDefault="00847A38" w:rsidP="00C4534A">
      <w:pPr>
        <w:ind w:left="567"/>
        <w:rPr>
          <w:sz w:val="24"/>
          <w:szCs w:val="24"/>
          <w:lang w:val="en-GB"/>
        </w:rPr>
      </w:pPr>
      <w:r>
        <w:rPr>
          <w:sz w:val="24"/>
          <w:szCs w:val="24"/>
          <w:lang w:val="en-GB"/>
        </w:rPr>
        <w:t>SCCG</w:t>
      </w:r>
      <w:r w:rsidR="00B315F5" w:rsidRPr="000D0745">
        <w:rPr>
          <w:sz w:val="24"/>
          <w:szCs w:val="24"/>
          <w:lang w:val="en-GB"/>
        </w:rPr>
        <w:t xml:space="preserve"> commits to:</w:t>
      </w:r>
    </w:p>
    <w:p w:rsidR="00B315F5" w:rsidRPr="000D0745" w:rsidRDefault="00B315F5" w:rsidP="00C4534A">
      <w:pPr>
        <w:rPr>
          <w:sz w:val="24"/>
          <w:szCs w:val="24"/>
          <w:lang w:val="en-GB"/>
        </w:rPr>
      </w:pPr>
    </w:p>
    <w:p w:rsidR="00B315F5" w:rsidRPr="000D0745" w:rsidRDefault="00DC2426" w:rsidP="00C4534A">
      <w:pPr>
        <w:numPr>
          <w:ilvl w:val="0"/>
          <w:numId w:val="3"/>
        </w:numPr>
        <w:ind w:left="993" w:hanging="426"/>
        <w:rPr>
          <w:sz w:val="24"/>
          <w:szCs w:val="24"/>
          <w:lang w:val="en-GB"/>
        </w:rPr>
      </w:pPr>
      <w:r>
        <w:rPr>
          <w:sz w:val="24"/>
          <w:szCs w:val="24"/>
          <w:lang w:val="en-GB"/>
        </w:rPr>
        <w:t>Involving a</w:t>
      </w:r>
      <w:r w:rsidR="00B315F5" w:rsidRPr="000D0745">
        <w:rPr>
          <w:sz w:val="24"/>
          <w:szCs w:val="24"/>
          <w:lang w:val="en-GB"/>
        </w:rPr>
        <w:t>ll GP practices in clinical commissioning through the mandate offered to CCG committee representative and enga</w:t>
      </w:r>
      <w:r w:rsidR="001F0C8E">
        <w:rPr>
          <w:sz w:val="24"/>
          <w:szCs w:val="24"/>
          <w:lang w:val="en-GB"/>
        </w:rPr>
        <w:t>gement in our strong localities;</w:t>
      </w:r>
    </w:p>
    <w:p w:rsidR="00B315F5" w:rsidRPr="000D0745" w:rsidRDefault="00B315F5" w:rsidP="00C4534A">
      <w:pPr>
        <w:numPr>
          <w:ilvl w:val="0"/>
          <w:numId w:val="3"/>
        </w:numPr>
        <w:ind w:left="993" w:hanging="426"/>
        <w:rPr>
          <w:sz w:val="24"/>
          <w:szCs w:val="24"/>
          <w:lang w:val="en-GB"/>
        </w:rPr>
      </w:pPr>
      <w:r w:rsidRPr="000D0745">
        <w:rPr>
          <w:sz w:val="24"/>
          <w:szCs w:val="24"/>
          <w:lang w:val="en-GB"/>
        </w:rPr>
        <w:t>Citywide implementation of effective innovations an</w:t>
      </w:r>
      <w:r w:rsidR="001F0C8E">
        <w:rPr>
          <w:sz w:val="24"/>
          <w:szCs w:val="24"/>
          <w:lang w:val="en-GB"/>
        </w:rPr>
        <w:t>d opportunities for improvement;</w:t>
      </w:r>
    </w:p>
    <w:p w:rsidR="00B315F5" w:rsidRPr="000D0745" w:rsidRDefault="00B315F5" w:rsidP="00C4534A">
      <w:pPr>
        <w:numPr>
          <w:ilvl w:val="0"/>
          <w:numId w:val="3"/>
        </w:numPr>
        <w:ind w:left="993" w:hanging="426"/>
        <w:rPr>
          <w:sz w:val="24"/>
          <w:szCs w:val="24"/>
          <w:lang w:val="en-GB"/>
        </w:rPr>
      </w:pPr>
      <w:r w:rsidRPr="000D0745">
        <w:rPr>
          <w:sz w:val="24"/>
          <w:szCs w:val="24"/>
          <w:lang w:val="en-GB"/>
        </w:rPr>
        <w:t>Placing patients at the heart of all our commissioning de</w:t>
      </w:r>
      <w:r w:rsidR="001F0C8E">
        <w:rPr>
          <w:sz w:val="24"/>
          <w:szCs w:val="24"/>
          <w:lang w:val="en-GB"/>
        </w:rPr>
        <w:t>cisions and seeking their views;</w:t>
      </w:r>
    </w:p>
    <w:p w:rsidR="00B315F5" w:rsidRPr="000D0745" w:rsidRDefault="00B315F5" w:rsidP="00C4534A">
      <w:pPr>
        <w:numPr>
          <w:ilvl w:val="0"/>
          <w:numId w:val="3"/>
        </w:numPr>
        <w:ind w:left="993" w:hanging="426"/>
        <w:rPr>
          <w:sz w:val="24"/>
          <w:szCs w:val="24"/>
          <w:lang w:val="en-GB"/>
        </w:rPr>
      </w:pPr>
      <w:r w:rsidRPr="000D0745">
        <w:rPr>
          <w:sz w:val="24"/>
          <w:szCs w:val="24"/>
          <w:lang w:val="en-GB"/>
        </w:rPr>
        <w:t>Healthcare decisions led by Doctors, nurses and other health professionals</w:t>
      </w:r>
      <w:r w:rsidR="001F0C8E">
        <w:rPr>
          <w:sz w:val="24"/>
          <w:szCs w:val="24"/>
          <w:lang w:val="en-GB"/>
        </w:rPr>
        <w:t>;</w:t>
      </w:r>
    </w:p>
    <w:p w:rsidR="00B315F5" w:rsidRPr="000D0745" w:rsidRDefault="00B315F5" w:rsidP="00C4534A">
      <w:pPr>
        <w:numPr>
          <w:ilvl w:val="0"/>
          <w:numId w:val="3"/>
        </w:numPr>
        <w:ind w:left="993" w:hanging="426"/>
        <w:rPr>
          <w:sz w:val="24"/>
          <w:szCs w:val="24"/>
          <w:lang w:val="en-GB"/>
        </w:rPr>
      </w:pPr>
      <w:r w:rsidRPr="000D0745">
        <w:rPr>
          <w:sz w:val="24"/>
          <w:szCs w:val="24"/>
          <w:lang w:val="en-GB"/>
        </w:rPr>
        <w:t>Collaborative working across practices throu</w:t>
      </w:r>
      <w:r w:rsidR="001F0C8E">
        <w:rPr>
          <w:sz w:val="24"/>
          <w:szCs w:val="24"/>
          <w:lang w:val="en-GB"/>
        </w:rPr>
        <w:t>gh strong locality arrangements;</w:t>
      </w:r>
    </w:p>
    <w:p w:rsidR="00B315F5" w:rsidRPr="000D0745" w:rsidRDefault="00B315F5" w:rsidP="00C4534A">
      <w:pPr>
        <w:numPr>
          <w:ilvl w:val="0"/>
          <w:numId w:val="3"/>
        </w:numPr>
        <w:ind w:left="993" w:hanging="426"/>
        <w:rPr>
          <w:sz w:val="24"/>
          <w:szCs w:val="24"/>
          <w:lang w:val="en-GB"/>
        </w:rPr>
      </w:pPr>
      <w:r w:rsidRPr="000D0745">
        <w:rPr>
          <w:sz w:val="24"/>
          <w:szCs w:val="24"/>
          <w:lang w:val="en-GB"/>
        </w:rPr>
        <w:t>Strengthening relationships and partnership work betwe</w:t>
      </w:r>
      <w:r w:rsidR="001F0C8E">
        <w:rPr>
          <w:sz w:val="24"/>
          <w:szCs w:val="24"/>
          <w:lang w:val="en-GB"/>
        </w:rPr>
        <w:t>en organisations and clinicians; and</w:t>
      </w:r>
    </w:p>
    <w:p w:rsidR="00B315F5" w:rsidRPr="000D0745" w:rsidRDefault="00B315F5" w:rsidP="00C4534A">
      <w:pPr>
        <w:numPr>
          <w:ilvl w:val="0"/>
          <w:numId w:val="3"/>
        </w:numPr>
        <w:ind w:left="993" w:hanging="426"/>
        <w:rPr>
          <w:sz w:val="24"/>
          <w:szCs w:val="24"/>
          <w:lang w:val="en-GB"/>
        </w:rPr>
      </w:pPr>
      <w:r w:rsidRPr="000D0745">
        <w:rPr>
          <w:sz w:val="24"/>
          <w:szCs w:val="24"/>
          <w:lang w:val="en-GB"/>
        </w:rPr>
        <w:t xml:space="preserve">Improvement that is well managed </w:t>
      </w:r>
      <w:r w:rsidR="001F0C8E">
        <w:rPr>
          <w:sz w:val="24"/>
          <w:szCs w:val="24"/>
          <w:lang w:val="en-GB"/>
        </w:rPr>
        <w:t>and benefits all parties.</w:t>
      </w:r>
    </w:p>
    <w:p w:rsidR="00D77801" w:rsidRPr="000D0745" w:rsidRDefault="00D77801" w:rsidP="00C4534A">
      <w:pPr>
        <w:rPr>
          <w:sz w:val="24"/>
          <w:szCs w:val="24"/>
          <w:lang w:val="en-GB"/>
        </w:rPr>
      </w:pPr>
    </w:p>
    <w:p w:rsidR="001F0C8E" w:rsidRDefault="00BD7923" w:rsidP="00C4534A">
      <w:pPr>
        <w:pStyle w:val="Heading1"/>
        <w:numPr>
          <w:ilvl w:val="1"/>
          <w:numId w:val="14"/>
        </w:numPr>
        <w:ind w:left="567" w:hanging="567"/>
        <w:rPr>
          <w:rFonts w:eastAsia="Arial"/>
          <w:sz w:val="24"/>
          <w:szCs w:val="24"/>
        </w:rPr>
      </w:pPr>
      <w:bookmarkStart w:id="11" w:name="_Toc454455970"/>
      <w:bookmarkStart w:id="12" w:name="_Toc363823744"/>
      <w:r>
        <w:rPr>
          <w:rFonts w:eastAsia="Arial"/>
          <w:sz w:val="24"/>
          <w:szCs w:val="24"/>
        </w:rPr>
        <w:t xml:space="preserve">The </w:t>
      </w:r>
      <w:r w:rsidR="00B35893" w:rsidRPr="001F0C8E">
        <w:rPr>
          <w:rFonts w:eastAsia="Arial"/>
          <w:sz w:val="24"/>
          <w:szCs w:val="24"/>
        </w:rPr>
        <w:t xml:space="preserve">Role of the </w:t>
      </w:r>
      <w:r w:rsidR="00C244F2" w:rsidRPr="001F0C8E">
        <w:rPr>
          <w:rFonts w:eastAsia="Arial"/>
          <w:sz w:val="24"/>
          <w:szCs w:val="24"/>
        </w:rPr>
        <w:t xml:space="preserve">CCG </w:t>
      </w:r>
      <w:r w:rsidR="00B35893" w:rsidRPr="001F0C8E">
        <w:rPr>
          <w:rFonts w:eastAsia="Arial"/>
          <w:sz w:val="24"/>
          <w:szCs w:val="24"/>
        </w:rPr>
        <w:t>Governing Body</w:t>
      </w:r>
      <w:r w:rsidR="00C244F2" w:rsidRPr="001F0C8E">
        <w:rPr>
          <w:rFonts w:eastAsia="Arial"/>
          <w:sz w:val="24"/>
          <w:szCs w:val="24"/>
        </w:rPr>
        <w:t xml:space="preserve"> in the Procurement Process</w:t>
      </w:r>
      <w:bookmarkEnd w:id="11"/>
    </w:p>
    <w:p w:rsidR="00C244F2" w:rsidRPr="000D0745" w:rsidRDefault="00C244F2" w:rsidP="00C4534A">
      <w:pPr>
        <w:rPr>
          <w:rFonts w:eastAsia="Arial"/>
          <w:sz w:val="24"/>
          <w:szCs w:val="24"/>
          <w:lang w:val="en-GB"/>
        </w:rPr>
      </w:pPr>
    </w:p>
    <w:p w:rsidR="00BD7923" w:rsidRDefault="00C244F2" w:rsidP="00C4534A">
      <w:pPr>
        <w:ind w:left="567"/>
        <w:rPr>
          <w:rFonts w:eastAsia="Arial"/>
          <w:sz w:val="24"/>
          <w:szCs w:val="24"/>
          <w:lang w:val="en-GB"/>
        </w:rPr>
      </w:pPr>
      <w:r w:rsidRPr="000D0745">
        <w:rPr>
          <w:rFonts w:eastAsia="Arial"/>
          <w:sz w:val="24"/>
          <w:szCs w:val="24"/>
          <w:lang w:val="en-GB"/>
        </w:rPr>
        <w:t>The Governing Body has the ultimate responsibility for</w:t>
      </w:r>
      <w:r w:rsidR="0085582E" w:rsidRPr="000D0745">
        <w:rPr>
          <w:rFonts w:eastAsia="Arial"/>
          <w:sz w:val="24"/>
          <w:szCs w:val="24"/>
          <w:lang w:val="en-GB"/>
        </w:rPr>
        <w:t xml:space="preserve"> ensuring that </w:t>
      </w:r>
      <w:r w:rsidR="00847A38">
        <w:rPr>
          <w:rFonts w:eastAsia="Arial"/>
          <w:sz w:val="24"/>
          <w:szCs w:val="24"/>
          <w:lang w:val="en-GB"/>
        </w:rPr>
        <w:t>S</w:t>
      </w:r>
      <w:r w:rsidR="0085582E" w:rsidRPr="000D0745">
        <w:rPr>
          <w:rFonts w:eastAsia="Arial"/>
          <w:sz w:val="24"/>
          <w:szCs w:val="24"/>
          <w:lang w:val="en-GB"/>
        </w:rPr>
        <w:t>CCG meets its</w:t>
      </w:r>
      <w:r w:rsidRPr="000D0745">
        <w:rPr>
          <w:rFonts w:eastAsia="Arial"/>
          <w:sz w:val="24"/>
          <w:szCs w:val="24"/>
          <w:lang w:val="en-GB"/>
        </w:rPr>
        <w:t xml:space="preserve"> statutory requirements </w:t>
      </w:r>
      <w:r w:rsidR="0085582E" w:rsidRPr="000D0745">
        <w:rPr>
          <w:rFonts w:eastAsia="Arial"/>
          <w:sz w:val="24"/>
          <w:szCs w:val="24"/>
          <w:lang w:val="en-GB"/>
        </w:rPr>
        <w:t xml:space="preserve">when procuring healthcare </w:t>
      </w:r>
      <w:r w:rsidRPr="000D0745">
        <w:rPr>
          <w:rFonts w:eastAsia="Arial"/>
          <w:sz w:val="24"/>
          <w:szCs w:val="24"/>
          <w:lang w:val="en-GB"/>
        </w:rPr>
        <w:t xml:space="preserve">services. </w:t>
      </w:r>
    </w:p>
    <w:p w:rsidR="00BD7923" w:rsidRDefault="00BD7923" w:rsidP="00C4534A">
      <w:pPr>
        <w:ind w:left="567"/>
        <w:rPr>
          <w:rFonts w:eastAsia="Arial"/>
          <w:sz w:val="24"/>
          <w:szCs w:val="24"/>
          <w:lang w:val="en-GB"/>
        </w:rPr>
      </w:pPr>
    </w:p>
    <w:p w:rsidR="00B35893" w:rsidRDefault="00C244F2" w:rsidP="00C4534A">
      <w:pPr>
        <w:ind w:left="567"/>
        <w:rPr>
          <w:rFonts w:eastAsia="Arial"/>
          <w:sz w:val="24"/>
          <w:szCs w:val="24"/>
          <w:lang w:val="en-GB"/>
        </w:rPr>
      </w:pPr>
      <w:r w:rsidRPr="000D0745">
        <w:rPr>
          <w:rFonts w:eastAsia="Arial"/>
          <w:sz w:val="24"/>
          <w:szCs w:val="24"/>
          <w:lang w:val="en-GB"/>
        </w:rPr>
        <w:t>T</w:t>
      </w:r>
      <w:r w:rsidR="0085582E" w:rsidRPr="000D0745">
        <w:rPr>
          <w:rFonts w:eastAsia="Arial"/>
          <w:sz w:val="24"/>
          <w:szCs w:val="24"/>
          <w:lang w:val="en-GB"/>
        </w:rPr>
        <w:t xml:space="preserve">he Governing Body will be </w:t>
      </w:r>
      <w:r w:rsidRPr="000D0745">
        <w:rPr>
          <w:rFonts w:eastAsia="Arial"/>
          <w:sz w:val="24"/>
          <w:szCs w:val="24"/>
          <w:lang w:val="en-GB"/>
        </w:rPr>
        <w:t xml:space="preserve">the authorising body for awarding </w:t>
      </w:r>
      <w:r w:rsidR="00BD7923">
        <w:rPr>
          <w:rFonts w:eastAsia="Arial"/>
          <w:sz w:val="24"/>
          <w:szCs w:val="24"/>
          <w:lang w:val="en-GB"/>
        </w:rPr>
        <w:t xml:space="preserve">a </w:t>
      </w:r>
      <w:r w:rsidRPr="000D0745">
        <w:rPr>
          <w:rFonts w:eastAsia="Arial"/>
          <w:sz w:val="24"/>
          <w:szCs w:val="24"/>
          <w:lang w:val="en-GB"/>
        </w:rPr>
        <w:t>contract once a formal tender process has been completed</w:t>
      </w:r>
      <w:r w:rsidR="001738A8">
        <w:rPr>
          <w:rFonts w:eastAsia="Arial"/>
          <w:sz w:val="24"/>
          <w:szCs w:val="24"/>
          <w:lang w:val="en-GB"/>
        </w:rPr>
        <w:t xml:space="preserve">, however, this may be delegated to PCCC or to </w:t>
      </w:r>
      <w:r w:rsidR="00847A38">
        <w:rPr>
          <w:rFonts w:eastAsia="Arial"/>
          <w:sz w:val="24"/>
          <w:szCs w:val="24"/>
          <w:lang w:val="en-GB"/>
        </w:rPr>
        <w:t>appropriate</w:t>
      </w:r>
      <w:r w:rsidR="001738A8">
        <w:rPr>
          <w:rFonts w:eastAsia="Arial"/>
          <w:sz w:val="24"/>
          <w:szCs w:val="24"/>
          <w:lang w:val="en-GB"/>
        </w:rPr>
        <w:t xml:space="preserve"> staff in accordance with the budget scheme of delegation</w:t>
      </w:r>
      <w:r w:rsidRPr="000D0745">
        <w:rPr>
          <w:rFonts w:eastAsia="Arial"/>
          <w:sz w:val="24"/>
          <w:szCs w:val="24"/>
          <w:lang w:val="en-GB"/>
        </w:rPr>
        <w:t xml:space="preserve">. </w:t>
      </w:r>
      <w:r w:rsidR="00BD7923">
        <w:rPr>
          <w:rFonts w:eastAsia="Arial"/>
          <w:sz w:val="24"/>
          <w:szCs w:val="24"/>
          <w:lang w:val="en-GB"/>
        </w:rPr>
        <w:t>W</w:t>
      </w:r>
      <w:r w:rsidRPr="000D0745">
        <w:rPr>
          <w:rFonts w:eastAsia="Arial"/>
          <w:sz w:val="24"/>
          <w:szCs w:val="24"/>
          <w:lang w:val="en-GB"/>
        </w:rPr>
        <w:t>hen considering options for procurement the Governing Body will work with</w:t>
      </w:r>
      <w:r w:rsidR="00BD7923">
        <w:rPr>
          <w:rFonts w:eastAsia="Arial"/>
          <w:sz w:val="24"/>
          <w:szCs w:val="24"/>
          <w:lang w:val="en-GB"/>
        </w:rPr>
        <w:t>in</w:t>
      </w:r>
      <w:r w:rsidRPr="000D0745">
        <w:rPr>
          <w:rFonts w:eastAsia="Arial"/>
          <w:sz w:val="24"/>
          <w:szCs w:val="24"/>
          <w:lang w:val="en-GB"/>
        </w:rPr>
        <w:t xml:space="preserve"> the guidelines set out by </w:t>
      </w:r>
      <w:r w:rsidR="003E2EE2">
        <w:rPr>
          <w:rFonts w:eastAsia="Arial"/>
          <w:sz w:val="24"/>
          <w:szCs w:val="24"/>
          <w:lang w:val="en-GB"/>
        </w:rPr>
        <w:t>NHSI</w:t>
      </w:r>
      <w:r w:rsidRPr="000D0745">
        <w:rPr>
          <w:rFonts w:eastAsia="Arial"/>
          <w:sz w:val="24"/>
          <w:szCs w:val="24"/>
          <w:lang w:val="en-GB"/>
        </w:rPr>
        <w:t xml:space="preserve"> as the </w:t>
      </w:r>
      <w:r w:rsidR="0085582E" w:rsidRPr="000D0745">
        <w:rPr>
          <w:rFonts w:eastAsia="Arial"/>
          <w:sz w:val="24"/>
          <w:szCs w:val="24"/>
          <w:lang w:val="en-GB"/>
        </w:rPr>
        <w:t xml:space="preserve">appointed regulator of healthcare procurement and apply the </w:t>
      </w:r>
      <w:r w:rsidR="003E2EE2">
        <w:rPr>
          <w:rFonts w:eastAsia="Arial"/>
          <w:sz w:val="24"/>
          <w:szCs w:val="24"/>
          <w:lang w:val="en-GB"/>
        </w:rPr>
        <w:t>NHSI</w:t>
      </w:r>
      <w:r w:rsidR="0085582E" w:rsidRPr="000D0745">
        <w:rPr>
          <w:rFonts w:eastAsia="Arial"/>
          <w:sz w:val="24"/>
          <w:szCs w:val="24"/>
          <w:lang w:val="en-GB"/>
        </w:rPr>
        <w:t xml:space="preserve"> Key test’s</w:t>
      </w:r>
      <w:r w:rsidR="006E0168" w:rsidRPr="000D0745">
        <w:rPr>
          <w:rFonts w:eastAsia="Arial"/>
          <w:sz w:val="24"/>
          <w:szCs w:val="24"/>
          <w:lang w:val="en-GB"/>
        </w:rPr>
        <w:t xml:space="preserve"> as described with</w:t>
      </w:r>
      <w:r w:rsidR="00DC2426">
        <w:rPr>
          <w:rFonts w:eastAsia="Arial"/>
          <w:sz w:val="24"/>
          <w:szCs w:val="24"/>
          <w:lang w:val="en-GB"/>
        </w:rPr>
        <w:t>in</w:t>
      </w:r>
      <w:r w:rsidR="006E0168" w:rsidRPr="000D0745">
        <w:rPr>
          <w:rFonts w:eastAsia="Arial"/>
          <w:sz w:val="24"/>
          <w:szCs w:val="24"/>
          <w:lang w:val="en-GB"/>
        </w:rPr>
        <w:t xml:space="preserve"> section 2.3</w:t>
      </w:r>
      <w:r w:rsidRPr="000D0745">
        <w:rPr>
          <w:rFonts w:eastAsia="Arial"/>
          <w:sz w:val="24"/>
          <w:szCs w:val="24"/>
          <w:lang w:val="en-GB"/>
        </w:rPr>
        <w:t xml:space="preserve"> of this document.  </w:t>
      </w:r>
    </w:p>
    <w:p w:rsidR="00C75610" w:rsidRDefault="00C75610" w:rsidP="00C4534A">
      <w:pPr>
        <w:ind w:left="567"/>
        <w:rPr>
          <w:rFonts w:eastAsia="Arial"/>
          <w:sz w:val="24"/>
          <w:szCs w:val="24"/>
          <w:lang w:val="en-GB"/>
        </w:rPr>
      </w:pPr>
    </w:p>
    <w:p w:rsidR="00C75610" w:rsidRPr="000D0745" w:rsidRDefault="00C75610" w:rsidP="00C4534A">
      <w:pPr>
        <w:ind w:left="567"/>
        <w:rPr>
          <w:rFonts w:eastAsia="Arial"/>
          <w:sz w:val="24"/>
          <w:szCs w:val="24"/>
          <w:lang w:val="en-GB"/>
        </w:rPr>
      </w:pPr>
    </w:p>
    <w:p w:rsidR="00B35893" w:rsidRPr="000D0745" w:rsidRDefault="00B35893" w:rsidP="00C4534A">
      <w:pPr>
        <w:rPr>
          <w:rFonts w:eastAsia="Arial"/>
          <w:sz w:val="24"/>
          <w:szCs w:val="24"/>
          <w:lang w:val="en-GB"/>
        </w:rPr>
      </w:pPr>
    </w:p>
    <w:p w:rsidR="00B35893" w:rsidRDefault="00B35893" w:rsidP="00C4534A">
      <w:pPr>
        <w:pStyle w:val="Heading1"/>
        <w:numPr>
          <w:ilvl w:val="1"/>
          <w:numId w:val="14"/>
        </w:numPr>
        <w:ind w:left="567" w:hanging="567"/>
        <w:rPr>
          <w:rFonts w:eastAsia="Arial"/>
          <w:sz w:val="24"/>
          <w:szCs w:val="24"/>
        </w:rPr>
      </w:pPr>
      <w:bookmarkStart w:id="13" w:name="_Toc363823774"/>
      <w:bookmarkStart w:id="14" w:name="_Toc454455971"/>
      <w:r w:rsidRPr="001F0C8E">
        <w:rPr>
          <w:rFonts w:eastAsia="Arial"/>
          <w:sz w:val="24"/>
          <w:szCs w:val="24"/>
        </w:rPr>
        <w:lastRenderedPageBreak/>
        <w:t>Staff, Public and Patient Engagement</w:t>
      </w:r>
      <w:bookmarkEnd w:id="13"/>
      <w:bookmarkEnd w:id="14"/>
    </w:p>
    <w:p w:rsidR="00B35893" w:rsidRPr="000D0745" w:rsidRDefault="00B35893" w:rsidP="00C4534A">
      <w:pPr>
        <w:ind w:left="567"/>
        <w:rPr>
          <w:rFonts w:eastAsia="Arial"/>
          <w:sz w:val="24"/>
          <w:szCs w:val="24"/>
          <w:lang w:val="en-GB"/>
        </w:rPr>
      </w:pPr>
    </w:p>
    <w:p w:rsidR="00B35893" w:rsidRPr="000D0745" w:rsidRDefault="00847A38" w:rsidP="00C4534A">
      <w:pPr>
        <w:ind w:left="567"/>
        <w:rPr>
          <w:rFonts w:eastAsia="Arial"/>
          <w:sz w:val="24"/>
          <w:szCs w:val="24"/>
          <w:lang w:val="en-GB"/>
        </w:rPr>
      </w:pPr>
      <w:r>
        <w:rPr>
          <w:rFonts w:eastAsia="Arial"/>
          <w:sz w:val="24"/>
          <w:szCs w:val="24"/>
          <w:lang w:val="en-GB"/>
        </w:rPr>
        <w:t>S</w:t>
      </w:r>
      <w:r w:rsidR="00C11D83" w:rsidRPr="000D0745">
        <w:rPr>
          <w:rFonts w:eastAsia="Arial"/>
          <w:sz w:val="24"/>
          <w:szCs w:val="24"/>
          <w:lang w:val="en-GB"/>
        </w:rPr>
        <w:t xml:space="preserve">CCG is committed to engaging relevant stakeholders in all aspects of procurement. </w:t>
      </w:r>
      <w:r w:rsidR="00B35893" w:rsidRPr="000D0745">
        <w:rPr>
          <w:rFonts w:eastAsia="Arial"/>
          <w:sz w:val="24"/>
          <w:szCs w:val="24"/>
          <w:lang w:val="en-GB"/>
        </w:rPr>
        <w:t>The NHS Constitution</w:t>
      </w:r>
      <w:r w:rsidR="00B35893" w:rsidRPr="000D0745">
        <w:rPr>
          <w:rStyle w:val="FootnoteReference"/>
          <w:rFonts w:eastAsia="Arial"/>
          <w:sz w:val="24"/>
          <w:szCs w:val="24"/>
          <w:lang w:val="en-GB"/>
        </w:rPr>
        <w:footnoteReference w:id="5"/>
      </w:r>
      <w:r w:rsidR="00B35893" w:rsidRPr="000D0745">
        <w:rPr>
          <w:rFonts w:eastAsia="Arial"/>
          <w:sz w:val="24"/>
          <w:szCs w:val="24"/>
          <w:lang w:val="en-GB"/>
        </w:rPr>
        <w:t xml:space="preserve"> pledges that staff should be engaged in changes that affect them. Staff engagement is principally the responsibility of employers, but as commissioners the CCG recognises the value of effective staff engagement in improving the quality of commissioning and procurement. </w:t>
      </w:r>
    </w:p>
    <w:p w:rsidR="00B35893" w:rsidRPr="000D0745" w:rsidRDefault="00B35893" w:rsidP="00C4534A">
      <w:pPr>
        <w:ind w:left="567"/>
        <w:rPr>
          <w:rFonts w:eastAsia="Arial"/>
          <w:sz w:val="24"/>
          <w:szCs w:val="24"/>
          <w:lang w:val="en-GB"/>
        </w:rPr>
      </w:pPr>
    </w:p>
    <w:p w:rsidR="00312EA2" w:rsidRPr="000D0745" w:rsidRDefault="00847A38" w:rsidP="00C4534A">
      <w:pPr>
        <w:ind w:left="567"/>
        <w:rPr>
          <w:rFonts w:eastAsia="Arial"/>
          <w:sz w:val="24"/>
          <w:szCs w:val="24"/>
          <w:lang w:val="en-GB"/>
        </w:rPr>
      </w:pPr>
      <w:r>
        <w:rPr>
          <w:rFonts w:eastAsia="Arial"/>
          <w:sz w:val="24"/>
          <w:szCs w:val="24"/>
          <w:lang w:val="en-GB"/>
        </w:rPr>
        <w:t>S</w:t>
      </w:r>
      <w:r w:rsidR="00B35893" w:rsidRPr="000D0745">
        <w:rPr>
          <w:rFonts w:eastAsia="Arial"/>
          <w:sz w:val="24"/>
          <w:szCs w:val="24"/>
          <w:lang w:val="en-GB"/>
        </w:rPr>
        <w:t xml:space="preserve">CCG recognises that the engagement of clinicians, patients and public in designing services results in better services. Our business processes require evidence of engagement for business cases to be approved and as a result, any procurement of services will have been informed by engagement at the design stage. </w:t>
      </w:r>
    </w:p>
    <w:p w:rsidR="00312EA2" w:rsidRPr="000D0745" w:rsidRDefault="00312EA2" w:rsidP="00C4534A">
      <w:pPr>
        <w:ind w:left="567"/>
        <w:rPr>
          <w:rFonts w:eastAsia="Arial"/>
          <w:sz w:val="24"/>
          <w:szCs w:val="24"/>
          <w:lang w:val="en-GB"/>
        </w:rPr>
      </w:pPr>
    </w:p>
    <w:p w:rsidR="00B35893" w:rsidRPr="000D0745" w:rsidRDefault="00C11D83" w:rsidP="00C4534A">
      <w:pPr>
        <w:ind w:left="567"/>
        <w:rPr>
          <w:rFonts w:eastAsia="Arial"/>
          <w:sz w:val="24"/>
          <w:szCs w:val="24"/>
          <w:lang w:val="en-GB"/>
        </w:rPr>
      </w:pPr>
      <w:r w:rsidRPr="000D0745">
        <w:rPr>
          <w:rFonts w:eastAsia="Arial"/>
          <w:sz w:val="24"/>
          <w:szCs w:val="24"/>
          <w:lang w:val="en-GB"/>
        </w:rPr>
        <w:t xml:space="preserve">As well as engaging staff and service users </w:t>
      </w:r>
      <w:r w:rsidR="00146DD4">
        <w:rPr>
          <w:rFonts w:eastAsia="Arial"/>
          <w:sz w:val="24"/>
          <w:szCs w:val="24"/>
          <w:lang w:val="en-GB"/>
        </w:rPr>
        <w:t>at</w:t>
      </w:r>
      <w:r w:rsidRPr="000D0745">
        <w:rPr>
          <w:rFonts w:eastAsia="Arial"/>
          <w:sz w:val="24"/>
          <w:szCs w:val="24"/>
          <w:lang w:val="en-GB"/>
        </w:rPr>
        <w:t xml:space="preserve"> the business case development</w:t>
      </w:r>
      <w:r w:rsidR="00146DD4">
        <w:rPr>
          <w:rFonts w:eastAsia="Arial"/>
          <w:sz w:val="24"/>
          <w:szCs w:val="24"/>
          <w:lang w:val="en-GB"/>
        </w:rPr>
        <w:t xml:space="preserve"> stage</w:t>
      </w:r>
      <w:r w:rsidRPr="000D0745">
        <w:rPr>
          <w:rFonts w:eastAsia="Arial"/>
          <w:sz w:val="24"/>
          <w:szCs w:val="24"/>
          <w:lang w:val="en-GB"/>
        </w:rPr>
        <w:t xml:space="preserve">, </w:t>
      </w:r>
      <w:r w:rsidR="00847A38">
        <w:rPr>
          <w:rFonts w:eastAsia="Arial"/>
          <w:sz w:val="24"/>
          <w:szCs w:val="24"/>
          <w:lang w:val="en-GB"/>
        </w:rPr>
        <w:t>S</w:t>
      </w:r>
      <w:r w:rsidRPr="000D0745">
        <w:rPr>
          <w:rFonts w:eastAsia="Arial"/>
          <w:sz w:val="24"/>
          <w:szCs w:val="24"/>
          <w:lang w:val="en-GB"/>
        </w:rPr>
        <w:t xml:space="preserve">CCG is committed to </w:t>
      </w:r>
      <w:r w:rsidR="00146DD4">
        <w:rPr>
          <w:rFonts w:eastAsia="Arial"/>
          <w:sz w:val="24"/>
          <w:szCs w:val="24"/>
          <w:lang w:val="en-GB"/>
        </w:rPr>
        <w:t>involving</w:t>
      </w:r>
      <w:r w:rsidRPr="000D0745">
        <w:rPr>
          <w:rFonts w:eastAsia="Arial"/>
          <w:sz w:val="24"/>
          <w:szCs w:val="24"/>
          <w:lang w:val="en-GB"/>
        </w:rPr>
        <w:t xml:space="preserve"> individuals </w:t>
      </w:r>
      <w:r w:rsidR="00146DD4">
        <w:rPr>
          <w:rFonts w:eastAsia="Arial"/>
          <w:sz w:val="24"/>
          <w:szCs w:val="24"/>
          <w:lang w:val="en-GB"/>
        </w:rPr>
        <w:t>in</w:t>
      </w:r>
      <w:r w:rsidRPr="000D0745">
        <w:rPr>
          <w:rFonts w:eastAsia="Arial"/>
          <w:sz w:val="24"/>
          <w:szCs w:val="24"/>
          <w:lang w:val="en-GB"/>
        </w:rPr>
        <w:t xml:space="preserve"> the procurement process. </w:t>
      </w:r>
      <w:r w:rsidR="00847A38">
        <w:rPr>
          <w:rFonts w:eastAsia="Arial"/>
          <w:sz w:val="24"/>
          <w:szCs w:val="24"/>
          <w:lang w:val="en-GB"/>
        </w:rPr>
        <w:t>S</w:t>
      </w:r>
      <w:r w:rsidR="00312EA2" w:rsidRPr="000D0745">
        <w:rPr>
          <w:rFonts w:eastAsia="Arial"/>
          <w:sz w:val="24"/>
          <w:szCs w:val="24"/>
          <w:lang w:val="en-GB"/>
        </w:rPr>
        <w:t>CCG will ensure that</w:t>
      </w:r>
      <w:r w:rsidRPr="000D0745">
        <w:rPr>
          <w:rFonts w:eastAsia="Arial"/>
          <w:sz w:val="24"/>
          <w:szCs w:val="24"/>
          <w:lang w:val="en-GB"/>
        </w:rPr>
        <w:t xml:space="preserve"> the views of the public and service users </w:t>
      </w:r>
      <w:r w:rsidR="00312EA2" w:rsidRPr="000D0745">
        <w:rPr>
          <w:rFonts w:eastAsia="Arial"/>
          <w:sz w:val="24"/>
          <w:szCs w:val="24"/>
          <w:lang w:val="en-GB"/>
        </w:rPr>
        <w:t xml:space="preserve">are taken into account </w:t>
      </w:r>
      <w:r w:rsidRPr="000D0745">
        <w:rPr>
          <w:rFonts w:eastAsia="Arial"/>
          <w:sz w:val="24"/>
          <w:szCs w:val="24"/>
          <w:lang w:val="en-GB"/>
        </w:rPr>
        <w:t xml:space="preserve">when making </w:t>
      </w:r>
      <w:r w:rsidR="00312EA2" w:rsidRPr="000D0745">
        <w:rPr>
          <w:rFonts w:eastAsia="Arial"/>
          <w:sz w:val="24"/>
          <w:szCs w:val="24"/>
          <w:lang w:val="en-GB"/>
        </w:rPr>
        <w:t xml:space="preserve">any </w:t>
      </w:r>
      <w:r w:rsidRPr="000D0745">
        <w:rPr>
          <w:rFonts w:eastAsia="Arial"/>
          <w:sz w:val="24"/>
          <w:szCs w:val="24"/>
          <w:lang w:val="en-GB"/>
        </w:rPr>
        <w:t>decis</w:t>
      </w:r>
      <w:r w:rsidR="006661F4" w:rsidRPr="000D0745">
        <w:rPr>
          <w:rFonts w:eastAsia="Arial"/>
          <w:sz w:val="24"/>
          <w:szCs w:val="24"/>
          <w:lang w:val="en-GB"/>
        </w:rPr>
        <w:t xml:space="preserve">ion to go out to competitive procurement </w:t>
      </w:r>
      <w:r w:rsidR="00312EA2" w:rsidRPr="000D0745">
        <w:rPr>
          <w:rFonts w:eastAsia="Arial"/>
          <w:sz w:val="24"/>
          <w:szCs w:val="24"/>
          <w:lang w:val="en-GB"/>
        </w:rPr>
        <w:t>and when</w:t>
      </w:r>
      <w:r w:rsidRPr="000D0745">
        <w:rPr>
          <w:rFonts w:eastAsia="Arial"/>
          <w:sz w:val="24"/>
          <w:szCs w:val="24"/>
          <w:lang w:val="en-GB"/>
        </w:rPr>
        <w:t xml:space="preserve"> developing </w:t>
      </w:r>
      <w:r w:rsidR="00312EA2" w:rsidRPr="000D0745">
        <w:rPr>
          <w:rFonts w:eastAsia="Arial"/>
          <w:sz w:val="24"/>
          <w:szCs w:val="24"/>
          <w:lang w:val="en-GB"/>
        </w:rPr>
        <w:t xml:space="preserve">relevant </w:t>
      </w:r>
      <w:r w:rsidRPr="000D0745">
        <w:rPr>
          <w:rFonts w:eastAsia="Arial"/>
          <w:sz w:val="24"/>
          <w:szCs w:val="24"/>
          <w:lang w:val="en-GB"/>
        </w:rPr>
        <w:t xml:space="preserve">tender documentation. </w:t>
      </w:r>
      <w:r w:rsidR="00847A38">
        <w:rPr>
          <w:rFonts w:eastAsia="Arial"/>
          <w:sz w:val="24"/>
          <w:szCs w:val="24"/>
          <w:lang w:val="en-GB"/>
        </w:rPr>
        <w:t>S</w:t>
      </w:r>
      <w:r w:rsidR="00312EA2" w:rsidRPr="000D0745">
        <w:rPr>
          <w:rFonts w:eastAsia="Arial"/>
          <w:sz w:val="24"/>
          <w:szCs w:val="24"/>
          <w:lang w:val="en-GB"/>
        </w:rPr>
        <w:t>CCG will also ensure</w:t>
      </w:r>
      <w:r w:rsidRPr="000D0745">
        <w:rPr>
          <w:rFonts w:eastAsia="Arial"/>
          <w:sz w:val="24"/>
          <w:szCs w:val="24"/>
          <w:lang w:val="en-GB"/>
        </w:rPr>
        <w:t xml:space="preserve"> engage</w:t>
      </w:r>
      <w:r w:rsidR="00312EA2" w:rsidRPr="000D0745">
        <w:rPr>
          <w:rFonts w:eastAsia="Arial"/>
          <w:sz w:val="24"/>
          <w:szCs w:val="24"/>
          <w:lang w:val="en-GB"/>
        </w:rPr>
        <w:t>ment with</w:t>
      </w:r>
      <w:r w:rsidRPr="000D0745">
        <w:rPr>
          <w:rFonts w:eastAsia="Arial"/>
          <w:sz w:val="24"/>
          <w:szCs w:val="24"/>
          <w:lang w:val="en-GB"/>
        </w:rPr>
        <w:t xml:space="preserve"> </w:t>
      </w:r>
      <w:r w:rsidR="00312EA2" w:rsidRPr="000D0745">
        <w:rPr>
          <w:rFonts w:eastAsia="Arial"/>
          <w:sz w:val="24"/>
          <w:szCs w:val="24"/>
          <w:lang w:val="en-GB"/>
        </w:rPr>
        <w:t xml:space="preserve">service users and the public when evaluating </w:t>
      </w:r>
      <w:r w:rsidR="00146DD4">
        <w:rPr>
          <w:rFonts w:eastAsia="Arial"/>
          <w:sz w:val="24"/>
          <w:szCs w:val="24"/>
          <w:lang w:val="en-GB"/>
        </w:rPr>
        <w:t>tender submissions</w:t>
      </w:r>
      <w:r w:rsidR="00DC2426">
        <w:rPr>
          <w:rFonts w:eastAsia="Arial"/>
          <w:sz w:val="24"/>
          <w:szCs w:val="24"/>
          <w:lang w:val="en-GB"/>
        </w:rPr>
        <w:t>;</w:t>
      </w:r>
      <w:r w:rsidR="00312EA2" w:rsidRPr="000D0745">
        <w:rPr>
          <w:rFonts w:eastAsia="Arial"/>
          <w:sz w:val="24"/>
          <w:szCs w:val="24"/>
          <w:lang w:val="en-GB"/>
        </w:rPr>
        <w:t xml:space="preserve"> </w:t>
      </w:r>
      <w:r w:rsidR="00362553" w:rsidRPr="000D0745">
        <w:rPr>
          <w:rFonts w:eastAsia="Arial"/>
          <w:sz w:val="24"/>
          <w:szCs w:val="24"/>
          <w:lang w:val="en-GB"/>
        </w:rPr>
        <w:t>our expectation</w:t>
      </w:r>
      <w:r w:rsidR="00312EA2" w:rsidRPr="000D0745">
        <w:rPr>
          <w:rFonts w:eastAsia="Arial"/>
          <w:sz w:val="24"/>
          <w:szCs w:val="24"/>
          <w:lang w:val="en-GB"/>
        </w:rPr>
        <w:t xml:space="preserve"> is that relevant service users will be represented on tender evaluation panels and be given the opportunity to influence the outcome of procurement decisions. </w:t>
      </w:r>
      <w:r w:rsidR="006661F4" w:rsidRPr="000D0745">
        <w:rPr>
          <w:rFonts w:eastAsia="Arial"/>
          <w:sz w:val="24"/>
          <w:szCs w:val="24"/>
          <w:lang w:val="en-GB"/>
        </w:rPr>
        <w:t xml:space="preserve"> </w:t>
      </w:r>
      <w:r w:rsidRPr="000D0745">
        <w:rPr>
          <w:rFonts w:eastAsia="Arial"/>
          <w:sz w:val="24"/>
          <w:szCs w:val="24"/>
          <w:lang w:val="en-GB"/>
        </w:rPr>
        <w:t xml:space="preserve"> </w:t>
      </w:r>
      <w:r w:rsidR="00312EA2" w:rsidRPr="000D0745">
        <w:rPr>
          <w:rFonts w:eastAsia="Arial"/>
          <w:sz w:val="24"/>
          <w:szCs w:val="24"/>
          <w:lang w:val="en-GB"/>
        </w:rPr>
        <w:t xml:space="preserve"> </w:t>
      </w:r>
    </w:p>
    <w:bookmarkEnd w:id="12"/>
    <w:p w:rsidR="00D77801" w:rsidRDefault="00D77801" w:rsidP="00C4534A">
      <w:pPr>
        <w:pStyle w:val="Heading1"/>
        <w:numPr>
          <w:ilvl w:val="0"/>
          <w:numId w:val="0"/>
        </w:numPr>
        <w:rPr>
          <w:rFonts w:eastAsia="Arial"/>
          <w:sz w:val="24"/>
          <w:szCs w:val="24"/>
        </w:rPr>
      </w:pPr>
    </w:p>
    <w:p w:rsidR="000D553E" w:rsidRDefault="000D553E" w:rsidP="00C4534A">
      <w:pPr>
        <w:pStyle w:val="Heading1"/>
        <w:numPr>
          <w:ilvl w:val="1"/>
          <w:numId w:val="14"/>
        </w:numPr>
        <w:ind w:left="567" w:hanging="567"/>
        <w:rPr>
          <w:rFonts w:eastAsia="Arial"/>
          <w:sz w:val="24"/>
          <w:szCs w:val="24"/>
        </w:rPr>
      </w:pPr>
      <w:bookmarkStart w:id="15" w:name="_Toc363823765"/>
      <w:bookmarkStart w:id="16" w:name="_Toc454455972"/>
      <w:r w:rsidRPr="001F0C8E">
        <w:rPr>
          <w:rFonts w:eastAsia="Arial"/>
          <w:sz w:val="24"/>
          <w:szCs w:val="24"/>
        </w:rPr>
        <w:t>Quality</w:t>
      </w:r>
      <w:bookmarkEnd w:id="15"/>
      <w:bookmarkEnd w:id="16"/>
    </w:p>
    <w:p w:rsidR="001F0C8E" w:rsidRPr="001F0C8E" w:rsidRDefault="001F0C8E" w:rsidP="00C4534A">
      <w:pPr>
        <w:rPr>
          <w:rFonts w:eastAsia="Arial"/>
          <w:lang w:val="en-GB"/>
        </w:rPr>
      </w:pPr>
    </w:p>
    <w:p w:rsidR="000D553E" w:rsidRPr="000D0745" w:rsidRDefault="000D553E" w:rsidP="00C4534A">
      <w:pPr>
        <w:ind w:left="567"/>
        <w:rPr>
          <w:sz w:val="24"/>
          <w:szCs w:val="24"/>
          <w:lang w:val="en-GB"/>
        </w:rPr>
      </w:pPr>
      <w:r w:rsidRPr="000D0745">
        <w:rPr>
          <w:sz w:val="24"/>
          <w:szCs w:val="24"/>
          <w:lang w:val="en-GB"/>
        </w:rPr>
        <w:t>The overall quality of a Healthcare Service will be determined by the successful implementation of the procurement process. Quality will be embedded throughout each process using the following tools:</w:t>
      </w:r>
    </w:p>
    <w:p w:rsidR="000D553E" w:rsidRPr="000D0745" w:rsidRDefault="000D553E" w:rsidP="00C4534A">
      <w:pPr>
        <w:rPr>
          <w:sz w:val="24"/>
          <w:szCs w:val="24"/>
          <w:lang w:val="en-GB"/>
        </w:rPr>
      </w:pPr>
    </w:p>
    <w:p w:rsidR="000D553E" w:rsidRPr="000D0745" w:rsidRDefault="000D553E" w:rsidP="00C4534A">
      <w:pPr>
        <w:pStyle w:val="Heading2"/>
        <w:numPr>
          <w:ilvl w:val="2"/>
          <w:numId w:val="14"/>
        </w:numPr>
        <w:ind w:left="1276" w:hanging="709"/>
        <w:jc w:val="left"/>
        <w:rPr>
          <w:sz w:val="24"/>
          <w:szCs w:val="24"/>
          <w:lang w:val="en-GB"/>
        </w:rPr>
      </w:pPr>
      <w:bookmarkStart w:id="17" w:name="_Toc363823766"/>
      <w:bookmarkStart w:id="18" w:name="_Toc454455973"/>
      <w:r w:rsidRPr="000D0745">
        <w:rPr>
          <w:sz w:val="24"/>
          <w:szCs w:val="24"/>
          <w:lang w:val="en-GB"/>
        </w:rPr>
        <w:t>Quality, Innovation, Productivity and Prevention (QIPP)</w:t>
      </w:r>
      <w:bookmarkEnd w:id="17"/>
      <w:bookmarkEnd w:id="18"/>
    </w:p>
    <w:p w:rsidR="000D553E" w:rsidRPr="000D0745" w:rsidRDefault="000D553E" w:rsidP="00C4534A">
      <w:pPr>
        <w:rPr>
          <w:sz w:val="24"/>
          <w:szCs w:val="24"/>
          <w:lang w:val="en-GB"/>
        </w:rPr>
      </w:pPr>
    </w:p>
    <w:p w:rsidR="000D553E" w:rsidRPr="000D0745" w:rsidRDefault="000D553E" w:rsidP="00C4534A">
      <w:pPr>
        <w:ind w:left="567"/>
        <w:rPr>
          <w:sz w:val="24"/>
          <w:szCs w:val="24"/>
          <w:lang w:val="en-GB"/>
        </w:rPr>
      </w:pPr>
      <w:r w:rsidRPr="000D0745">
        <w:rPr>
          <w:sz w:val="24"/>
          <w:szCs w:val="24"/>
          <w:lang w:val="en-GB"/>
        </w:rPr>
        <w:t xml:space="preserve">All tender activity undertaken by </w:t>
      </w:r>
      <w:r w:rsidR="00847A38">
        <w:rPr>
          <w:sz w:val="24"/>
          <w:szCs w:val="24"/>
          <w:lang w:val="en-GB"/>
        </w:rPr>
        <w:t>S</w:t>
      </w:r>
      <w:r w:rsidRPr="000D0745">
        <w:rPr>
          <w:sz w:val="24"/>
          <w:szCs w:val="24"/>
          <w:lang w:val="en-GB"/>
        </w:rPr>
        <w:t>CCG will focus on the QIPP agenda and each successfully delivered healthcare tender will contribute to this wider programme:</w:t>
      </w:r>
    </w:p>
    <w:p w:rsidR="000D553E" w:rsidRPr="000D0745" w:rsidRDefault="000D553E" w:rsidP="00C4534A">
      <w:pPr>
        <w:rPr>
          <w:sz w:val="24"/>
          <w:szCs w:val="24"/>
          <w:lang w:val="en-GB"/>
        </w:rPr>
      </w:pPr>
    </w:p>
    <w:p w:rsidR="000D553E" w:rsidRPr="000D0745" w:rsidRDefault="000D553E" w:rsidP="00C4534A">
      <w:pPr>
        <w:numPr>
          <w:ilvl w:val="1"/>
          <w:numId w:val="24"/>
        </w:numPr>
        <w:ind w:left="993" w:hanging="426"/>
        <w:rPr>
          <w:sz w:val="24"/>
          <w:szCs w:val="24"/>
          <w:lang w:val="en-GB"/>
        </w:rPr>
      </w:pPr>
      <w:r w:rsidRPr="000D0745">
        <w:rPr>
          <w:b/>
          <w:sz w:val="24"/>
          <w:szCs w:val="24"/>
          <w:lang w:val="en-GB"/>
        </w:rPr>
        <w:t>Quality</w:t>
      </w:r>
      <w:r w:rsidRPr="000D0745">
        <w:rPr>
          <w:sz w:val="24"/>
          <w:szCs w:val="24"/>
          <w:lang w:val="en-GB"/>
        </w:rPr>
        <w:t xml:space="preserve"> – The quality of each service will be </w:t>
      </w:r>
      <w:r w:rsidR="00DB1ACF">
        <w:rPr>
          <w:sz w:val="24"/>
          <w:szCs w:val="24"/>
          <w:lang w:val="en-GB"/>
        </w:rPr>
        <w:t>assessed</w:t>
      </w:r>
      <w:r w:rsidRPr="000D0745">
        <w:rPr>
          <w:sz w:val="24"/>
          <w:szCs w:val="24"/>
          <w:lang w:val="en-GB"/>
        </w:rPr>
        <w:t xml:space="preserve"> through the evaluation of the succes</w:t>
      </w:r>
      <w:r w:rsidR="00DB1ACF">
        <w:rPr>
          <w:sz w:val="24"/>
          <w:szCs w:val="24"/>
          <w:lang w:val="en-GB"/>
        </w:rPr>
        <w:t>sful bidder’s tender submission</w:t>
      </w:r>
      <w:r w:rsidRPr="000D0745">
        <w:rPr>
          <w:sz w:val="24"/>
          <w:szCs w:val="24"/>
          <w:lang w:val="en-GB"/>
        </w:rPr>
        <w:t xml:space="preserve"> and subsequently </w:t>
      </w:r>
      <w:r w:rsidR="00DB1ACF">
        <w:rPr>
          <w:sz w:val="24"/>
          <w:szCs w:val="24"/>
          <w:lang w:val="en-GB"/>
        </w:rPr>
        <w:t>managed</w:t>
      </w:r>
      <w:r w:rsidRPr="000D0745">
        <w:rPr>
          <w:sz w:val="24"/>
          <w:szCs w:val="24"/>
          <w:lang w:val="en-GB"/>
        </w:rPr>
        <w:t xml:space="preserve"> through </w:t>
      </w:r>
      <w:r w:rsidR="00DB1ACF">
        <w:rPr>
          <w:sz w:val="24"/>
          <w:szCs w:val="24"/>
          <w:lang w:val="en-GB"/>
        </w:rPr>
        <w:t>an agreed performance management framework</w:t>
      </w:r>
      <w:r w:rsidRPr="000D0745">
        <w:rPr>
          <w:sz w:val="24"/>
          <w:szCs w:val="24"/>
          <w:lang w:val="en-GB"/>
        </w:rPr>
        <w:t xml:space="preserve"> established at the tender stage and </w:t>
      </w:r>
      <w:r w:rsidR="00DB1ACF">
        <w:rPr>
          <w:sz w:val="24"/>
          <w:szCs w:val="24"/>
          <w:lang w:val="en-GB"/>
        </w:rPr>
        <w:t>included in the C</w:t>
      </w:r>
      <w:r w:rsidRPr="000D0745">
        <w:rPr>
          <w:sz w:val="24"/>
          <w:szCs w:val="24"/>
          <w:lang w:val="en-GB"/>
        </w:rPr>
        <w:t>ontract.</w:t>
      </w:r>
      <w:r w:rsidR="00354912">
        <w:rPr>
          <w:sz w:val="24"/>
          <w:szCs w:val="24"/>
          <w:lang w:val="en-GB"/>
        </w:rPr>
        <w:t xml:space="preserve"> This will cover, where relevant, </w:t>
      </w:r>
      <w:r w:rsidR="00DB1ACF">
        <w:rPr>
          <w:sz w:val="24"/>
          <w:szCs w:val="24"/>
          <w:lang w:val="en-GB"/>
        </w:rPr>
        <w:t>any</w:t>
      </w:r>
      <w:r w:rsidR="00354912">
        <w:rPr>
          <w:sz w:val="24"/>
          <w:szCs w:val="24"/>
          <w:lang w:val="en-GB"/>
        </w:rPr>
        <w:t xml:space="preserve"> appropriate health outcome measures specified as part of the tender process.</w:t>
      </w:r>
    </w:p>
    <w:p w:rsidR="000D553E" w:rsidRPr="000D0745" w:rsidRDefault="000D553E" w:rsidP="00C4534A">
      <w:pPr>
        <w:ind w:left="709"/>
        <w:rPr>
          <w:sz w:val="24"/>
          <w:szCs w:val="24"/>
          <w:lang w:val="en-GB"/>
        </w:rPr>
      </w:pPr>
    </w:p>
    <w:p w:rsidR="000D553E" w:rsidRPr="00DB1ACF" w:rsidRDefault="000D553E" w:rsidP="00C4534A">
      <w:pPr>
        <w:numPr>
          <w:ilvl w:val="1"/>
          <w:numId w:val="24"/>
        </w:numPr>
        <w:ind w:left="993" w:hanging="426"/>
        <w:rPr>
          <w:sz w:val="24"/>
          <w:szCs w:val="24"/>
          <w:lang w:val="en-GB"/>
        </w:rPr>
      </w:pPr>
      <w:r w:rsidRPr="00DB1ACF">
        <w:rPr>
          <w:b/>
          <w:sz w:val="24"/>
          <w:szCs w:val="24"/>
          <w:lang w:val="en-GB"/>
        </w:rPr>
        <w:t xml:space="preserve">Innovation – </w:t>
      </w:r>
      <w:r w:rsidRPr="00DB1ACF">
        <w:rPr>
          <w:sz w:val="24"/>
          <w:szCs w:val="24"/>
          <w:lang w:val="en-GB"/>
        </w:rPr>
        <w:t xml:space="preserve">Emphasis will be placed on innovation to enable suppliers to introduce efficiencies and new working methods into every area of service delivery. </w:t>
      </w:r>
    </w:p>
    <w:p w:rsidR="00DB1ACF" w:rsidRPr="00DB1ACF" w:rsidRDefault="00DB1ACF" w:rsidP="00C4534A">
      <w:pPr>
        <w:rPr>
          <w:sz w:val="24"/>
          <w:szCs w:val="24"/>
          <w:lang w:val="en-GB"/>
        </w:rPr>
      </w:pPr>
    </w:p>
    <w:p w:rsidR="000D553E" w:rsidRPr="00D35C14" w:rsidRDefault="000D553E" w:rsidP="00C4534A">
      <w:pPr>
        <w:numPr>
          <w:ilvl w:val="1"/>
          <w:numId w:val="24"/>
        </w:numPr>
        <w:ind w:left="993" w:hanging="426"/>
        <w:rPr>
          <w:sz w:val="24"/>
          <w:szCs w:val="24"/>
          <w:lang w:val="en-GB"/>
        </w:rPr>
      </w:pPr>
      <w:r w:rsidRPr="00D35C14">
        <w:rPr>
          <w:b/>
          <w:sz w:val="24"/>
          <w:szCs w:val="24"/>
          <w:lang w:val="en-GB"/>
        </w:rPr>
        <w:lastRenderedPageBreak/>
        <w:t>Productivity</w:t>
      </w:r>
      <w:r w:rsidRPr="00D35C14">
        <w:rPr>
          <w:sz w:val="24"/>
          <w:szCs w:val="24"/>
          <w:lang w:val="en-GB"/>
        </w:rPr>
        <w:t xml:space="preserve"> – Each tender will be evaluated against </w:t>
      </w:r>
      <w:r w:rsidR="00314F71" w:rsidRPr="00D35C14">
        <w:rPr>
          <w:sz w:val="24"/>
          <w:szCs w:val="24"/>
          <w:lang w:val="en-GB"/>
        </w:rPr>
        <w:t xml:space="preserve">published </w:t>
      </w:r>
      <w:r w:rsidR="00504570" w:rsidRPr="00D35C14">
        <w:rPr>
          <w:sz w:val="24"/>
          <w:szCs w:val="24"/>
          <w:lang w:val="en-GB"/>
        </w:rPr>
        <w:t>assessment criteria</w:t>
      </w:r>
      <w:r w:rsidR="00314F71" w:rsidRPr="00D35C14">
        <w:rPr>
          <w:sz w:val="24"/>
          <w:szCs w:val="24"/>
          <w:lang w:val="en-GB"/>
        </w:rPr>
        <w:t xml:space="preserve"> and weightings using the published scoring mechanism to ensure that the </w:t>
      </w:r>
      <w:r w:rsidR="00D35C14" w:rsidRPr="00D35C14">
        <w:rPr>
          <w:sz w:val="24"/>
          <w:szCs w:val="24"/>
          <w:lang w:val="en-GB"/>
        </w:rPr>
        <w:t xml:space="preserve">Contract is awarded to the </w:t>
      </w:r>
      <w:r w:rsidR="00314F71" w:rsidRPr="00D35C14">
        <w:rPr>
          <w:sz w:val="24"/>
          <w:szCs w:val="24"/>
          <w:lang w:val="en-GB"/>
        </w:rPr>
        <w:t>P</w:t>
      </w:r>
      <w:r w:rsidR="00504570" w:rsidRPr="00D35C14">
        <w:rPr>
          <w:sz w:val="24"/>
          <w:szCs w:val="24"/>
          <w:lang w:val="en-GB"/>
        </w:rPr>
        <w:t>rovider</w:t>
      </w:r>
      <w:r w:rsidR="00D35C14" w:rsidRPr="00D35C14">
        <w:rPr>
          <w:sz w:val="24"/>
          <w:szCs w:val="24"/>
          <w:lang w:val="en-GB"/>
        </w:rPr>
        <w:t>/Providers</w:t>
      </w:r>
      <w:r w:rsidR="00504570" w:rsidRPr="00D35C14">
        <w:rPr>
          <w:sz w:val="24"/>
          <w:szCs w:val="24"/>
          <w:lang w:val="en-GB"/>
        </w:rPr>
        <w:t xml:space="preserve"> who </w:t>
      </w:r>
      <w:r w:rsidR="00D35C14" w:rsidRPr="00D35C14">
        <w:rPr>
          <w:sz w:val="24"/>
          <w:szCs w:val="24"/>
          <w:lang w:val="en-GB"/>
        </w:rPr>
        <w:t>is/are adjudged to have submitted</w:t>
      </w:r>
      <w:r w:rsidR="00504570" w:rsidRPr="00D35C14">
        <w:rPr>
          <w:sz w:val="24"/>
          <w:szCs w:val="24"/>
          <w:lang w:val="en-GB"/>
        </w:rPr>
        <w:t xml:space="preserve"> </w:t>
      </w:r>
      <w:r w:rsidR="00D35C14" w:rsidRPr="00D35C14">
        <w:rPr>
          <w:sz w:val="24"/>
          <w:szCs w:val="24"/>
          <w:lang w:val="en-GB"/>
        </w:rPr>
        <w:t xml:space="preserve">the </w:t>
      </w:r>
      <w:r w:rsidR="00504570" w:rsidRPr="00D35C14">
        <w:rPr>
          <w:sz w:val="24"/>
          <w:szCs w:val="24"/>
          <w:lang w:val="en-GB"/>
        </w:rPr>
        <w:t>M</w:t>
      </w:r>
      <w:r w:rsidRPr="00D35C14">
        <w:rPr>
          <w:sz w:val="24"/>
          <w:szCs w:val="24"/>
          <w:lang w:val="en-GB"/>
        </w:rPr>
        <w:t xml:space="preserve">ost </w:t>
      </w:r>
      <w:r w:rsidR="00504570" w:rsidRPr="00D35C14">
        <w:rPr>
          <w:sz w:val="24"/>
          <w:szCs w:val="24"/>
          <w:lang w:val="en-GB"/>
        </w:rPr>
        <w:t>Economically Advantageous Tender (</w:t>
      </w:r>
      <w:r w:rsidR="00D35C14">
        <w:rPr>
          <w:sz w:val="24"/>
          <w:szCs w:val="24"/>
          <w:lang w:val="en-GB"/>
        </w:rPr>
        <w:t>MEAT)</w:t>
      </w:r>
      <w:r w:rsidRPr="00D35C14">
        <w:rPr>
          <w:sz w:val="24"/>
          <w:szCs w:val="24"/>
          <w:lang w:val="en-GB"/>
        </w:rPr>
        <w:t xml:space="preserve">. </w:t>
      </w:r>
    </w:p>
    <w:p w:rsidR="000D553E" w:rsidRPr="000D0745" w:rsidRDefault="000D553E" w:rsidP="00C4534A">
      <w:pPr>
        <w:numPr>
          <w:ilvl w:val="1"/>
          <w:numId w:val="24"/>
        </w:numPr>
        <w:ind w:left="993" w:hanging="426"/>
        <w:rPr>
          <w:sz w:val="24"/>
          <w:szCs w:val="24"/>
          <w:lang w:val="en-GB"/>
        </w:rPr>
      </w:pPr>
      <w:r w:rsidRPr="000D0745">
        <w:rPr>
          <w:b/>
          <w:sz w:val="24"/>
          <w:szCs w:val="24"/>
          <w:lang w:val="en-GB"/>
        </w:rPr>
        <w:t>Prevention</w:t>
      </w:r>
      <w:r w:rsidRPr="000D0745">
        <w:rPr>
          <w:sz w:val="24"/>
          <w:szCs w:val="24"/>
          <w:lang w:val="en-GB"/>
        </w:rPr>
        <w:t xml:space="preserve"> – </w:t>
      </w:r>
      <w:r w:rsidR="00354912">
        <w:rPr>
          <w:sz w:val="24"/>
          <w:szCs w:val="24"/>
          <w:lang w:val="en-GB"/>
        </w:rPr>
        <w:t xml:space="preserve">For procurements this focuses on the </w:t>
      </w:r>
      <w:r w:rsidRPr="000D0745">
        <w:rPr>
          <w:sz w:val="24"/>
          <w:szCs w:val="24"/>
          <w:lang w:val="en-GB"/>
        </w:rPr>
        <w:t>problem of under or over supply</w:t>
      </w:r>
      <w:r w:rsidR="00354912">
        <w:rPr>
          <w:sz w:val="24"/>
          <w:szCs w:val="24"/>
          <w:lang w:val="en-GB"/>
        </w:rPr>
        <w:t xml:space="preserve"> as opposed to considering any health improvement and inequalities issues, which will be addressed as part of the quality and outcome specifications</w:t>
      </w:r>
      <w:r w:rsidRPr="000D0745">
        <w:rPr>
          <w:sz w:val="24"/>
          <w:szCs w:val="24"/>
          <w:lang w:val="en-GB"/>
        </w:rPr>
        <w:t xml:space="preserve">. A contract that delivers too much or too little activity is wasteful and will inevitably be an unwelcome expense to the commissioner of the service. There can also be associated risks to the provider which emphasises the need for </w:t>
      </w:r>
      <w:r w:rsidR="0000324B">
        <w:rPr>
          <w:sz w:val="24"/>
          <w:szCs w:val="24"/>
          <w:lang w:val="en-GB"/>
        </w:rPr>
        <w:t>thorough</w:t>
      </w:r>
      <w:r w:rsidR="0000324B" w:rsidRPr="000D0745">
        <w:rPr>
          <w:sz w:val="24"/>
          <w:szCs w:val="24"/>
          <w:lang w:val="en-GB"/>
        </w:rPr>
        <w:t xml:space="preserve"> </w:t>
      </w:r>
      <w:r w:rsidRPr="000D0745">
        <w:rPr>
          <w:sz w:val="24"/>
          <w:szCs w:val="24"/>
          <w:lang w:val="en-GB"/>
        </w:rPr>
        <w:t>market analysis and the understanding of the service requirement</w:t>
      </w:r>
      <w:r w:rsidR="00354912">
        <w:rPr>
          <w:sz w:val="24"/>
          <w:szCs w:val="24"/>
          <w:lang w:val="en-GB"/>
        </w:rPr>
        <w:t>s.</w:t>
      </w:r>
    </w:p>
    <w:p w:rsidR="000D553E" w:rsidRPr="000D0745" w:rsidRDefault="000D553E" w:rsidP="00C4534A">
      <w:pPr>
        <w:ind w:left="709"/>
        <w:rPr>
          <w:sz w:val="24"/>
          <w:szCs w:val="24"/>
          <w:lang w:val="en-GB"/>
        </w:rPr>
      </w:pPr>
    </w:p>
    <w:p w:rsidR="000D553E" w:rsidRPr="000D0745" w:rsidRDefault="000D553E" w:rsidP="00C4534A">
      <w:pPr>
        <w:pStyle w:val="Heading2"/>
        <w:numPr>
          <w:ilvl w:val="2"/>
          <w:numId w:val="14"/>
        </w:numPr>
        <w:ind w:left="1276" w:hanging="709"/>
        <w:jc w:val="left"/>
        <w:rPr>
          <w:sz w:val="24"/>
          <w:szCs w:val="24"/>
          <w:lang w:val="en-GB"/>
        </w:rPr>
      </w:pPr>
      <w:bookmarkStart w:id="19" w:name="_Toc363823767"/>
      <w:bookmarkStart w:id="20" w:name="_Toc454455974"/>
      <w:r w:rsidRPr="000D0745">
        <w:rPr>
          <w:sz w:val="24"/>
          <w:szCs w:val="24"/>
          <w:lang w:val="en-GB"/>
        </w:rPr>
        <w:t>Commissioning for Quality and Innovation (CQUIN)</w:t>
      </w:r>
      <w:bookmarkEnd w:id="19"/>
      <w:bookmarkEnd w:id="20"/>
    </w:p>
    <w:p w:rsidR="000D553E" w:rsidRPr="000D0745" w:rsidRDefault="000D553E" w:rsidP="00C4534A">
      <w:pPr>
        <w:ind w:left="-9"/>
        <w:rPr>
          <w:sz w:val="24"/>
          <w:szCs w:val="24"/>
          <w:lang w:val="en-GB"/>
        </w:rPr>
      </w:pPr>
    </w:p>
    <w:p w:rsidR="000D553E" w:rsidRDefault="000D553E" w:rsidP="00C4534A">
      <w:pPr>
        <w:ind w:left="567"/>
        <w:rPr>
          <w:sz w:val="24"/>
          <w:szCs w:val="24"/>
          <w:lang w:val="en-GB"/>
        </w:rPr>
      </w:pPr>
      <w:r w:rsidRPr="000D0745">
        <w:rPr>
          <w:sz w:val="24"/>
          <w:szCs w:val="24"/>
          <w:lang w:val="en-GB"/>
        </w:rPr>
        <w:t xml:space="preserve">CQUIN payments enable commissioners to reward suppliers by linking payments to local quality improvements goals. The </w:t>
      </w:r>
      <w:r w:rsidR="000E3F5E">
        <w:rPr>
          <w:sz w:val="24"/>
          <w:szCs w:val="24"/>
          <w:lang w:val="en-GB"/>
        </w:rPr>
        <w:t>South Yorkshire Procurement Service</w:t>
      </w:r>
      <w:r w:rsidRPr="000D0745">
        <w:rPr>
          <w:sz w:val="24"/>
          <w:szCs w:val="24"/>
          <w:lang w:val="en-GB"/>
        </w:rPr>
        <w:t xml:space="preserve"> will offer advice to enable commissioners to embed these payments into the contractual agreement through </w:t>
      </w:r>
      <w:r w:rsidR="000E3F5E">
        <w:rPr>
          <w:sz w:val="24"/>
          <w:szCs w:val="24"/>
          <w:lang w:val="en-GB"/>
        </w:rPr>
        <w:t xml:space="preserve">an </w:t>
      </w:r>
      <w:r w:rsidRPr="000D0745">
        <w:rPr>
          <w:sz w:val="24"/>
          <w:szCs w:val="24"/>
          <w:lang w:val="en-GB"/>
        </w:rPr>
        <w:t xml:space="preserve">appropriate </w:t>
      </w:r>
      <w:r w:rsidR="000E3F5E">
        <w:rPr>
          <w:sz w:val="24"/>
          <w:szCs w:val="24"/>
          <w:lang w:val="en-GB"/>
        </w:rPr>
        <w:t>performance management framework as part of</w:t>
      </w:r>
      <w:r w:rsidRPr="000D0745">
        <w:rPr>
          <w:sz w:val="24"/>
          <w:szCs w:val="24"/>
          <w:lang w:val="en-GB"/>
        </w:rPr>
        <w:t xml:space="preserve"> the tender process.</w:t>
      </w:r>
    </w:p>
    <w:p w:rsidR="002638C8" w:rsidRPr="000D0745" w:rsidRDefault="002638C8" w:rsidP="00C4534A">
      <w:pPr>
        <w:ind w:left="567"/>
        <w:rPr>
          <w:sz w:val="24"/>
          <w:szCs w:val="24"/>
          <w:lang w:val="en-GB"/>
        </w:rPr>
      </w:pPr>
    </w:p>
    <w:p w:rsidR="002638C8" w:rsidRPr="000D0745" w:rsidRDefault="002638C8" w:rsidP="00C4534A">
      <w:pPr>
        <w:pStyle w:val="Heading2"/>
        <w:numPr>
          <w:ilvl w:val="2"/>
          <w:numId w:val="14"/>
        </w:numPr>
        <w:ind w:left="1276" w:hanging="709"/>
        <w:jc w:val="left"/>
        <w:rPr>
          <w:sz w:val="24"/>
          <w:szCs w:val="24"/>
          <w:lang w:val="en-GB"/>
        </w:rPr>
      </w:pPr>
      <w:bookmarkStart w:id="21" w:name="_Toc454455975"/>
      <w:r>
        <w:rPr>
          <w:sz w:val="24"/>
          <w:szCs w:val="24"/>
          <w:lang w:val="en-GB"/>
        </w:rPr>
        <w:t>UK Government’s Approach to Quality</w:t>
      </w:r>
      <w:bookmarkEnd w:id="21"/>
    </w:p>
    <w:p w:rsidR="000D553E" w:rsidRDefault="000D553E" w:rsidP="00C4534A">
      <w:pPr>
        <w:rPr>
          <w:sz w:val="24"/>
          <w:szCs w:val="24"/>
          <w:lang w:val="en-GB"/>
        </w:rPr>
      </w:pPr>
    </w:p>
    <w:p w:rsidR="00425B3B" w:rsidRDefault="001C1200" w:rsidP="00C4534A">
      <w:pPr>
        <w:ind w:left="567"/>
        <w:rPr>
          <w:sz w:val="24"/>
          <w:szCs w:val="24"/>
          <w:lang w:val="en-GB"/>
        </w:rPr>
      </w:pPr>
      <w:r>
        <w:rPr>
          <w:sz w:val="24"/>
          <w:szCs w:val="24"/>
          <w:lang w:val="en-GB"/>
        </w:rPr>
        <w:t>Regulation 67 of the Public Contracts Regulations 2015</w:t>
      </w:r>
      <w:r w:rsidR="0005204B">
        <w:rPr>
          <w:sz w:val="24"/>
          <w:szCs w:val="24"/>
          <w:lang w:val="en-GB"/>
        </w:rPr>
        <w:t xml:space="preserve"> (‘the PCR 2015’)</w:t>
      </w:r>
      <w:r>
        <w:rPr>
          <w:sz w:val="24"/>
          <w:szCs w:val="24"/>
          <w:lang w:val="en-GB"/>
        </w:rPr>
        <w:t xml:space="preserve"> confirms that all contract awards must now be made to the ‘</w:t>
      </w:r>
      <w:r w:rsidR="00362553">
        <w:rPr>
          <w:sz w:val="24"/>
          <w:szCs w:val="24"/>
          <w:lang w:val="en-GB"/>
        </w:rPr>
        <w:t>Most Economically Advantageous T</w:t>
      </w:r>
      <w:r>
        <w:rPr>
          <w:sz w:val="24"/>
          <w:szCs w:val="24"/>
          <w:lang w:val="en-GB"/>
        </w:rPr>
        <w:t>ender’ (MEAT) using a cost effectiveness approach such as life-cycle costing to assess this; this may include best ‘price-quality ratio’ as assessed on the basis of the award criteria.</w:t>
      </w:r>
    </w:p>
    <w:p w:rsidR="002638C8" w:rsidRPr="000D0745" w:rsidRDefault="002638C8" w:rsidP="00C4534A">
      <w:pPr>
        <w:rPr>
          <w:sz w:val="24"/>
          <w:szCs w:val="24"/>
          <w:lang w:val="en-GB"/>
        </w:rPr>
      </w:pPr>
    </w:p>
    <w:p w:rsidR="000D553E" w:rsidRPr="00240259" w:rsidRDefault="000D553E" w:rsidP="00C4534A">
      <w:pPr>
        <w:pStyle w:val="Heading1"/>
        <w:numPr>
          <w:ilvl w:val="1"/>
          <w:numId w:val="14"/>
        </w:numPr>
        <w:ind w:left="567" w:hanging="567"/>
        <w:rPr>
          <w:sz w:val="24"/>
          <w:szCs w:val="24"/>
        </w:rPr>
      </w:pPr>
      <w:bookmarkStart w:id="22" w:name="_Toc363823768"/>
      <w:bookmarkStart w:id="23" w:name="_Toc454455976"/>
      <w:r w:rsidRPr="00240259">
        <w:rPr>
          <w:rFonts w:eastAsia="Arial"/>
          <w:sz w:val="24"/>
          <w:szCs w:val="24"/>
        </w:rPr>
        <w:t>Collaborati</w:t>
      </w:r>
      <w:bookmarkEnd w:id="22"/>
      <w:r w:rsidR="00240259">
        <w:rPr>
          <w:rFonts w:eastAsia="Arial"/>
          <w:sz w:val="24"/>
          <w:szCs w:val="24"/>
        </w:rPr>
        <w:t>ve Procurement</w:t>
      </w:r>
      <w:bookmarkEnd w:id="23"/>
    </w:p>
    <w:p w:rsidR="000D553E" w:rsidRPr="000D0745" w:rsidRDefault="000D553E" w:rsidP="00C4534A">
      <w:pPr>
        <w:rPr>
          <w:sz w:val="24"/>
          <w:szCs w:val="24"/>
          <w:lang w:val="en-GB"/>
        </w:rPr>
      </w:pPr>
    </w:p>
    <w:p w:rsidR="00D77801" w:rsidRDefault="000D553E" w:rsidP="00C4534A">
      <w:pPr>
        <w:ind w:left="567"/>
        <w:rPr>
          <w:sz w:val="24"/>
          <w:szCs w:val="24"/>
          <w:lang w:val="en-GB"/>
        </w:rPr>
      </w:pPr>
      <w:r w:rsidRPr="000D0745">
        <w:rPr>
          <w:sz w:val="24"/>
          <w:szCs w:val="24"/>
          <w:lang w:val="en-GB"/>
        </w:rPr>
        <w:t xml:space="preserve">There are areas of supply management in which procurement collaboration is likely to bring benefits to </w:t>
      </w:r>
      <w:r w:rsidR="00847A38">
        <w:rPr>
          <w:sz w:val="24"/>
          <w:szCs w:val="24"/>
          <w:lang w:val="en-GB"/>
        </w:rPr>
        <w:t>S</w:t>
      </w:r>
      <w:r w:rsidR="00911491" w:rsidRPr="000D0745">
        <w:rPr>
          <w:sz w:val="24"/>
          <w:szCs w:val="24"/>
          <w:lang w:val="en-GB"/>
        </w:rPr>
        <w:t>CCG</w:t>
      </w:r>
      <w:r w:rsidR="00240259">
        <w:rPr>
          <w:sz w:val="24"/>
          <w:szCs w:val="24"/>
          <w:lang w:val="en-GB"/>
        </w:rPr>
        <w:t xml:space="preserve"> </w:t>
      </w:r>
      <w:r w:rsidRPr="000D0745">
        <w:rPr>
          <w:sz w:val="24"/>
          <w:szCs w:val="24"/>
          <w:lang w:val="en-GB"/>
        </w:rPr>
        <w:t xml:space="preserve">whether it is the sharing of operational resources, or commitment to specific joint projects and/or contracts. Economies of scale can be achieved in both operational activity and through leveraging collective spend. Where </w:t>
      </w:r>
      <w:r w:rsidR="00610370">
        <w:rPr>
          <w:sz w:val="24"/>
          <w:szCs w:val="24"/>
          <w:lang w:val="en-GB"/>
        </w:rPr>
        <w:t xml:space="preserve">a </w:t>
      </w:r>
      <w:r w:rsidRPr="000D0745">
        <w:rPr>
          <w:sz w:val="24"/>
          <w:szCs w:val="24"/>
          <w:lang w:val="en-GB"/>
        </w:rPr>
        <w:t xml:space="preserve">specific </w:t>
      </w:r>
      <w:r w:rsidR="00610370" w:rsidRPr="000D0745">
        <w:rPr>
          <w:sz w:val="24"/>
          <w:szCs w:val="24"/>
          <w:lang w:val="en-GB"/>
        </w:rPr>
        <w:t>procurement</w:t>
      </w:r>
      <w:r w:rsidRPr="000D0745">
        <w:rPr>
          <w:sz w:val="24"/>
          <w:szCs w:val="24"/>
          <w:lang w:val="en-GB"/>
        </w:rPr>
        <w:t xml:space="preserve"> warrant</w:t>
      </w:r>
      <w:r w:rsidR="00610370">
        <w:rPr>
          <w:sz w:val="24"/>
          <w:szCs w:val="24"/>
          <w:lang w:val="en-GB"/>
        </w:rPr>
        <w:t>s</w:t>
      </w:r>
      <w:r w:rsidRPr="000D0745">
        <w:rPr>
          <w:sz w:val="24"/>
          <w:szCs w:val="24"/>
          <w:lang w:val="en-GB"/>
        </w:rPr>
        <w:t xml:space="preserve"> joint procurement activity and it can be evidenced that this would be the best thing for the Sheffield population, </w:t>
      </w:r>
      <w:r w:rsidR="00847A38">
        <w:rPr>
          <w:sz w:val="24"/>
          <w:szCs w:val="24"/>
          <w:lang w:val="en-GB"/>
        </w:rPr>
        <w:t>S</w:t>
      </w:r>
      <w:r w:rsidRPr="000D0745">
        <w:rPr>
          <w:sz w:val="24"/>
          <w:szCs w:val="24"/>
          <w:lang w:val="en-GB"/>
        </w:rPr>
        <w:t xml:space="preserve"> CCG will enter into collaborative procurement processes. </w:t>
      </w:r>
    </w:p>
    <w:p w:rsidR="00610370" w:rsidRPr="000D0745" w:rsidRDefault="00610370" w:rsidP="00C4534A">
      <w:pPr>
        <w:rPr>
          <w:sz w:val="24"/>
          <w:szCs w:val="24"/>
          <w:lang w:val="en-GB"/>
        </w:rPr>
      </w:pPr>
    </w:p>
    <w:p w:rsidR="000D553E" w:rsidRPr="005E6D6E" w:rsidRDefault="000D553E" w:rsidP="00C4534A">
      <w:pPr>
        <w:pStyle w:val="Heading1"/>
        <w:numPr>
          <w:ilvl w:val="1"/>
          <w:numId w:val="14"/>
        </w:numPr>
        <w:ind w:left="567" w:hanging="567"/>
        <w:rPr>
          <w:rFonts w:eastAsia="Arial"/>
          <w:sz w:val="24"/>
          <w:szCs w:val="24"/>
        </w:rPr>
      </w:pPr>
      <w:bookmarkStart w:id="24" w:name="_Toc363823778"/>
      <w:bookmarkStart w:id="25" w:name="_Toc454455977"/>
      <w:r w:rsidRPr="005E6D6E">
        <w:rPr>
          <w:rFonts w:eastAsia="Arial"/>
          <w:sz w:val="24"/>
          <w:szCs w:val="24"/>
        </w:rPr>
        <w:t>Decommissioning</w:t>
      </w:r>
      <w:bookmarkEnd w:id="24"/>
      <w:r w:rsidR="00E20FB2">
        <w:rPr>
          <w:rFonts w:eastAsia="Arial"/>
          <w:sz w:val="24"/>
          <w:szCs w:val="24"/>
        </w:rPr>
        <w:t xml:space="preserve"> Services</w:t>
      </w:r>
      <w:bookmarkEnd w:id="25"/>
    </w:p>
    <w:p w:rsidR="000D553E" w:rsidRPr="000D0745" w:rsidRDefault="000D553E" w:rsidP="00C4534A">
      <w:pPr>
        <w:rPr>
          <w:rFonts w:eastAsia="Arial"/>
          <w:sz w:val="24"/>
          <w:szCs w:val="24"/>
          <w:lang w:val="en-GB"/>
        </w:rPr>
      </w:pPr>
    </w:p>
    <w:p w:rsidR="000D553E" w:rsidRPr="000D0745" w:rsidRDefault="000D553E" w:rsidP="00C4534A">
      <w:pPr>
        <w:ind w:left="567"/>
        <w:rPr>
          <w:rFonts w:eastAsia="Arial"/>
          <w:sz w:val="24"/>
          <w:szCs w:val="24"/>
          <w:lang w:val="en-GB"/>
        </w:rPr>
      </w:pPr>
      <w:r w:rsidRPr="000D0745">
        <w:rPr>
          <w:rFonts w:eastAsia="Arial"/>
          <w:sz w:val="24"/>
          <w:szCs w:val="24"/>
          <w:lang w:val="en-GB"/>
        </w:rPr>
        <w:t xml:space="preserve">The </w:t>
      </w:r>
      <w:r w:rsidR="00847A38">
        <w:rPr>
          <w:rFonts w:eastAsia="Arial"/>
          <w:sz w:val="24"/>
          <w:szCs w:val="24"/>
          <w:lang w:val="en-GB"/>
        </w:rPr>
        <w:t>S</w:t>
      </w:r>
      <w:r w:rsidRPr="000D0745">
        <w:rPr>
          <w:rFonts w:eastAsia="Arial"/>
          <w:sz w:val="24"/>
          <w:szCs w:val="24"/>
          <w:lang w:val="en-GB"/>
        </w:rPr>
        <w:t xml:space="preserve">CCG Governing Body has considered a set of principles to guide our approach to decommissioning services, as set out below. The principles were developed to clarify the circumstances, and by what processes, services will be decommissioned and, if necessary, re-commissioned. </w:t>
      </w:r>
      <w:r w:rsidR="00847A38">
        <w:rPr>
          <w:rFonts w:eastAsia="Arial"/>
          <w:sz w:val="24"/>
          <w:szCs w:val="24"/>
          <w:lang w:val="en-GB"/>
        </w:rPr>
        <w:t>S</w:t>
      </w:r>
      <w:r w:rsidRPr="000D0745">
        <w:rPr>
          <w:rFonts w:eastAsia="Arial"/>
          <w:sz w:val="24"/>
          <w:szCs w:val="24"/>
          <w:lang w:val="en-GB"/>
        </w:rPr>
        <w:t xml:space="preserve">CCG will ensure that </w:t>
      </w:r>
      <w:r w:rsidRPr="000D0745">
        <w:rPr>
          <w:rFonts w:eastAsia="Arial"/>
          <w:sz w:val="24"/>
          <w:szCs w:val="24"/>
          <w:lang w:val="en-GB"/>
        </w:rPr>
        <w:lastRenderedPageBreak/>
        <w:t>the way we approach the decommissioning of services will be fair, open and transparent.</w:t>
      </w:r>
    </w:p>
    <w:p w:rsidR="000D553E" w:rsidRPr="000D0745" w:rsidRDefault="000D553E" w:rsidP="00C4534A">
      <w:pPr>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to decommission a service will meet the Secretary of State’s four key tests for service change: </w:t>
      </w:r>
    </w:p>
    <w:p w:rsidR="000D553E" w:rsidRPr="000D0745" w:rsidRDefault="000D553E" w:rsidP="00C4534A">
      <w:pPr>
        <w:rPr>
          <w:rFonts w:eastAsia="Arial"/>
          <w:sz w:val="24"/>
          <w:szCs w:val="24"/>
          <w:lang w:val="en-GB"/>
        </w:rPr>
      </w:pP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Support from GP commissioners</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Strong engagement, including local authorities, public and patients</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A clear clinical evidence base underpinning proposals</w:t>
      </w:r>
      <w:r w:rsidR="00DF3EEE">
        <w:rPr>
          <w:rFonts w:eastAsia="Arial"/>
          <w:sz w:val="24"/>
          <w:szCs w:val="24"/>
          <w:lang w:val="en-GB"/>
        </w:rPr>
        <w:t>; and</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The need to develop and support patient choice</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There must be clear and objective reasons for the decommissioning of a service. These are likely to be based on one or more of: </w:t>
      </w:r>
    </w:p>
    <w:p w:rsidR="000D553E" w:rsidRPr="000D0745" w:rsidRDefault="000D553E" w:rsidP="00C4534A">
      <w:pPr>
        <w:rPr>
          <w:rFonts w:eastAsia="Arial"/>
          <w:sz w:val="24"/>
          <w:szCs w:val="24"/>
          <w:lang w:val="en-GB"/>
        </w:rPr>
      </w:pPr>
    </w:p>
    <w:p w:rsidR="000D553E" w:rsidRPr="000D0745" w:rsidRDefault="000D553E" w:rsidP="00C4534A">
      <w:pPr>
        <w:numPr>
          <w:ilvl w:val="1"/>
          <w:numId w:val="26"/>
        </w:numPr>
        <w:ind w:hanging="447"/>
        <w:rPr>
          <w:rFonts w:eastAsia="Arial"/>
          <w:sz w:val="24"/>
          <w:szCs w:val="24"/>
          <w:lang w:val="en-GB"/>
        </w:rPr>
      </w:pPr>
      <w:r w:rsidRPr="000D0745">
        <w:rPr>
          <w:rFonts w:eastAsia="Arial"/>
          <w:sz w:val="24"/>
          <w:szCs w:val="24"/>
          <w:lang w:val="en-GB"/>
        </w:rPr>
        <w:t>Failure to remedy poor performance</w:t>
      </w:r>
      <w:r w:rsidR="00DF3EEE">
        <w:rPr>
          <w:rFonts w:eastAsia="Arial"/>
          <w:sz w:val="24"/>
          <w:szCs w:val="24"/>
          <w:lang w:val="en-GB"/>
        </w:rPr>
        <w:t>;</w:t>
      </w:r>
      <w:r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E</w:t>
      </w:r>
      <w:r w:rsidR="000D553E" w:rsidRPr="000D0745">
        <w:rPr>
          <w:rFonts w:eastAsia="Arial"/>
          <w:sz w:val="24"/>
          <w:szCs w:val="24"/>
          <w:lang w:val="en-GB"/>
        </w:rPr>
        <w:t>vidence that the service is not cost-effective</w:t>
      </w:r>
      <w:r w:rsidR="00DF3EEE">
        <w:rPr>
          <w:rFonts w:eastAsia="Arial"/>
          <w:sz w:val="24"/>
          <w:szCs w:val="24"/>
          <w:lang w:val="en-GB"/>
        </w:rPr>
        <w:t>;</w:t>
      </w:r>
      <w:r w:rsidR="000D553E"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E</w:t>
      </w:r>
      <w:r w:rsidR="000D553E" w:rsidRPr="000D0745">
        <w:rPr>
          <w:rFonts w:eastAsia="Arial"/>
          <w:sz w:val="24"/>
          <w:szCs w:val="24"/>
          <w:lang w:val="en-GB"/>
        </w:rPr>
        <w:t>vidence that the service is not clinically effective – i.e. patient outcomes cannot be shown</w:t>
      </w:r>
      <w:r w:rsidR="00DF3EEE">
        <w:rPr>
          <w:rFonts w:eastAsia="Arial"/>
          <w:sz w:val="24"/>
          <w:szCs w:val="24"/>
          <w:lang w:val="en-GB"/>
        </w:rPr>
        <w:t>; and/or</w:t>
      </w:r>
      <w:r w:rsidR="000D553E"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I</w:t>
      </w:r>
      <w:r w:rsidR="000D553E" w:rsidRPr="000D0745">
        <w:rPr>
          <w:rFonts w:eastAsia="Arial"/>
          <w:sz w:val="24"/>
          <w:szCs w:val="24"/>
          <w:lang w:val="en-GB"/>
        </w:rPr>
        <w:t>nsufficient need for the service</w:t>
      </w:r>
      <w:r w:rsidR="00DF3EEE">
        <w:rPr>
          <w:rFonts w:eastAsia="Arial"/>
          <w:sz w:val="24"/>
          <w:szCs w:val="24"/>
          <w:lang w:val="en-GB"/>
        </w:rPr>
        <w:t>.</w:t>
      </w:r>
      <w:r w:rsidR="000D553E" w:rsidRPr="000D0745">
        <w:rPr>
          <w:rFonts w:eastAsia="Arial"/>
          <w:sz w:val="24"/>
          <w:szCs w:val="24"/>
          <w:lang w:val="en-GB"/>
        </w:rPr>
        <w:t xml:space="preserve"> </w:t>
      </w:r>
    </w:p>
    <w:p w:rsidR="000D553E" w:rsidRPr="000D0745" w:rsidRDefault="000D553E" w:rsidP="00C4534A">
      <w:pPr>
        <w:ind w:left="1440"/>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clearly in line with </w:t>
      </w:r>
      <w:r w:rsidR="00847A38">
        <w:rPr>
          <w:rFonts w:eastAsia="Arial"/>
          <w:sz w:val="24"/>
          <w:szCs w:val="24"/>
          <w:lang w:val="en-GB"/>
        </w:rPr>
        <w:t>S</w:t>
      </w:r>
      <w:r w:rsidRPr="000D0745">
        <w:rPr>
          <w:rFonts w:eastAsia="Arial"/>
          <w:sz w:val="24"/>
          <w:szCs w:val="24"/>
          <w:lang w:val="en-GB"/>
        </w:rPr>
        <w:t xml:space="preserve">CCG’s business aims and objectives, as set out in our annual commissioning intentions.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Patient and service users’ views will be taken into consideration in any decision to decommission a service, with formal public consultation when required.</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led by clinicians and will be based upon clear and strong evidence of clinical and cost effectiveness.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There will be no negative impact on the quality of care patients receive or on equality of care provision.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backed by a robust business case that describes the benefits of decommissioning and demonstrates that the benefits will be achieved.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Decommissioning decisions will be consistent with the commitments in the Co</w:t>
      </w:r>
      <w:r w:rsidR="00DF3EEE">
        <w:rPr>
          <w:rFonts w:eastAsia="Arial"/>
          <w:sz w:val="24"/>
          <w:szCs w:val="24"/>
          <w:lang w:val="en-GB"/>
        </w:rPr>
        <w:t>ntract</w:t>
      </w:r>
      <w:r w:rsidRPr="000D0745">
        <w:rPr>
          <w:rFonts w:eastAsia="Arial"/>
          <w:sz w:val="24"/>
          <w:szCs w:val="24"/>
          <w:lang w:val="en-GB"/>
        </w:rPr>
        <w:t xml:space="preserve"> with </w:t>
      </w:r>
      <w:r w:rsidR="00E20FB2" w:rsidRPr="00E20FB2">
        <w:rPr>
          <w:rFonts w:eastAsia="Arial"/>
          <w:sz w:val="24"/>
          <w:szCs w:val="24"/>
          <w:lang w:val="en-GB"/>
        </w:rPr>
        <w:t>Voluntary, Community and Faith (VCF)</w:t>
      </w:r>
      <w:r w:rsidR="00E20FB2">
        <w:rPr>
          <w:rFonts w:cs="Arial"/>
          <w:color w:val="153D4F"/>
          <w:sz w:val="21"/>
          <w:szCs w:val="21"/>
          <w:shd w:val="clear" w:color="auto" w:fill="FFFFFF"/>
        </w:rPr>
        <w:t xml:space="preserve"> </w:t>
      </w:r>
      <w:r w:rsidRPr="000D0745">
        <w:rPr>
          <w:rFonts w:eastAsia="Arial"/>
          <w:sz w:val="24"/>
          <w:szCs w:val="24"/>
          <w:lang w:val="en-GB"/>
        </w:rPr>
        <w:t>sector providers and with partnership principles agreed with NHS Foundation Trusts and the Local Authority.</w:t>
      </w:r>
    </w:p>
    <w:p w:rsidR="000D553E" w:rsidRPr="000D0745" w:rsidRDefault="000D553E" w:rsidP="00C4534A">
      <w:pPr>
        <w:ind w:left="993" w:hanging="426"/>
        <w:rPr>
          <w:rFonts w:eastAsia="Arial"/>
          <w:sz w:val="24"/>
          <w:szCs w:val="24"/>
          <w:lang w:val="en-GB"/>
        </w:rPr>
      </w:pPr>
    </w:p>
    <w:p w:rsidR="000D553E" w:rsidRPr="000D0745" w:rsidRDefault="00847A38" w:rsidP="00C4534A">
      <w:pPr>
        <w:numPr>
          <w:ilvl w:val="1"/>
          <w:numId w:val="8"/>
        </w:numPr>
        <w:ind w:left="993" w:hanging="426"/>
        <w:rPr>
          <w:rFonts w:eastAsia="Arial"/>
          <w:sz w:val="24"/>
          <w:szCs w:val="24"/>
          <w:lang w:val="en-GB"/>
        </w:rPr>
      </w:pPr>
      <w:r>
        <w:rPr>
          <w:rFonts w:eastAsia="Arial"/>
          <w:sz w:val="24"/>
          <w:szCs w:val="24"/>
          <w:lang w:val="en-GB"/>
        </w:rPr>
        <w:t>S</w:t>
      </w:r>
      <w:r w:rsidR="000D553E" w:rsidRPr="000D0745">
        <w:rPr>
          <w:rFonts w:eastAsia="Arial"/>
          <w:sz w:val="24"/>
          <w:szCs w:val="24"/>
          <w:lang w:val="en-GB"/>
        </w:rPr>
        <w:t>CCG will ultimately take the decision with regard to the decommissioning of any service.</w:t>
      </w:r>
    </w:p>
    <w:p w:rsidR="00D77801" w:rsidRPr="000D0745" w:rsidRDefault="00D77801" w:rsidP="00C4534A">
      <w:pPr>
        <w:rPr>
          <w:b/>
          <w:sz w:val="24"/>
          <w:szCs w:val="24"/>
          <w:u w:val="single"/>
          <w:lang w:val="en-GB"/>
        </w:rPr>
      </w:pPr>
    </w:p>
    <w:p w:rsidR="00911491" w:rsidRPr="00C4534A" w:rsidRDefault="005E6D6E" w:rsidP="00C4534A">
      <w:pPr>
        <w:rPr>
          <w:b/>
          <w:sz w:val="24"/>
          <w:szCs w:val="24"/>
          <w:u w:val="single"/>
          <w:lang w:val="en-GB"/>
        </w:rPr>
      </w:pPr>
      <w:r>
        <w:rPr>
          <w:b/>
          <w:sz w:val="28"/>
          <w:szCs w:val="28"/>
          <w:u w:val="single"/>
          <w:lang w:val="en-GB"/>
        </w:rPr>
        <w:br w:type="page"/>
      </w:r>
      <w:r w:rsidR="00911491" w:rsidRPr="00C4534A">
        <w:rPr>
          <w:b/>
          <w:sz w:val="24"/>
          <w:szCs w:val="24"/>
          <w:u w:val="single"/>
          <w:lang w:val="en-GB"/>
        </w:rPr>
        <w:lastRenderedPageBreak/>
        <w:t xml:space="preserve">Section 2 – Ensuring </w:t>
      </w:r>
      <w:r w:rsidR="00847A38">
        <w:rPr>
          <w:b/>
          <w:sz w:val="24"/>
          <w:szCs w:val="24"/>
          <w:u w:val="single"/>
          <w:lang w:val="en-GB"/>
        </w:rPr>
        <w:t>S</w:t>
      </w:r>
      <w:r w:rsidR="00FC1F14" w:rsidRPr="00C4534A">
        <w:rPr>
          <w:b/>
          <w:sz w:val="24"/>
          <w:szCs w:val="24"/>
          <w:u w:val="single"/>
          <w:lang w:val="en-GB"/>
        </w:rPr>
        <w:t xml:space="preserve">CCG </w:t>
      </w:r>
      <w:r w:rsidR="00911491" w:rsidRPr="00C4534A">
        <w:rPr>
          <w:b/>
          <w:sz w:val="24"/>
          <w:szCs w:val="24"/>
          <w:u w:val="single"/>
          <w:lang w:val="en-GB"/>
        </w:rPr>
        <w:t>Compliance with Procurement Rule</w:t>
      </w:r>
      <w:r w:rsidR="00FC1F14" w:rsidRPr="00C4534A">
        <w:rPr>
          <w:b/>
          <w:sz w:val="24"/>
          <w:szCs w:val="24"/>
          <w:u w:val="single"/>
          <w:lang w:val="en-GB"/>
        </w:rPr>
        <w:t>s</w:t>
      </w:r>
      <w:r w:rsidR="00911491" w:rsidRPr="00C4534A">
        <w:rPr>
          <w:b/>
          <w:sz w:val="24"/>
          <w:szCs w:val="24"/>
          <w:u w:val="single"/>
          <w:lang w:val="en-GB"/>
        </w:rPr>
        <w:t xml:space="preserve"> and Regulation</w:t>
      </w:r>
      <w:r w:rsidR="00847A38">
        <w:rPr>
          <w:b/>
          <w:sz w:val="24"/>
          <w:szCs w:val="24"/>
          <w:u w:val="single"/>
          <w:lang w:val="en-GB"/>
        </w:rPr>
        <w:t>s</w:t>
      </w:r>
    </w:p>
    <w:p w:rsidR="00911491" w:rsidRPr="007B7BAC" w:rsidRDefault="00911491" w:rsidP="00C4534A">
      <w:pPr>
        <w:rPr>
          <w:sz w:val="28"/>
          <w:szCs w:val="28"/>
          <w:lang w:val="en-GB"/>
        </w:rPr>
      </w:pPr>
    </w:p>
    <w:p w:rsidR="00800C65" w:rsidRPr="005E6D6E" w:rsidRDefault="00800C65" w:rsidP="00C4534A">
      <w:pPr>
        <w:pStyle w:val="Heading1"/>
        <w:numPr>
          <w:ilvl w:val="1"/>
          <w:numId w:val="15"/>
        </w:numPr>
        <w:ind w:left="567" w:hanging="567"/>
        <w:rPr>
          <w:sz w:val="24"/>
          <w:szCs w:val="24"/>
        </w:rPr>
      </w:pPr>
      <w:bookmarkStart w:id="26" w:name="_Toc454455978"/>
      <w:r w:rsidRPr="005E6D6E">
        <w:rPr>
          <w:rFonts w:eastAsia="Arial"/>
          <w:sz w:val="24"/>
          <w:szCs w:val="24"/>
        </w:rPr>
        <w:t>Statutory Framework</w:t>
      </w:r>
      <w:bookmarkEnd w:id="3"/>
      <w:bookmarkEnd w:id="26"/>
    </w:p>
    <w:p w:rsidR="00800C65" w:rsidRPr="000D0745" w:rsidRDefault="00800C65" w:rsidP="00C4534A">
      <w:pPr>
        <w:rPr>
          <w:sz w:val="24"/>
          <w:szCs w:val="24"/>
          <w:lang w:val="en-GB"/>
        </w:rPr>
      </w:pPr>
    </w:p>
    <w:p w:rsidR="00800C65" w:rsidRDefault="00847A38" w:rsidP="00C4534A">
      <w:pPr>
        <w:ind w:left="567"/>
        <w:rPr>
          <w:sz w:val="24"/>
          <w:szCs w:val="24"/>
          <w:lang w:val="en-GB"/>
        </w:rPr>
      </w:pPr>
      <w:r>
        <w:rPr>
          <w:sz w:val="24"/>
          <w:szCs w:val="24"/>
          <w:lang w:val="en-GB"/>
        </w:rPr>
        <w:t>SCCG</w:t>
      </w:r>
      <w:r w:rsidR="00800C65" w:rsidRPr="000D0745">
        <w:rPr>
          <w:sz w:val="24"/>
          <w:szCs w:val="24"/>
          <w:lang w:val="en-GB"/>
        </w:rPr>
        <w:t xml:space="preserve"> was established under the Health and Social Care Act (2012)</w:t>
      </w:r>
      <w:r w:rsidR="009974B8" w:rsidRPr="000D0745">
        <w:rPr>
          <w:rStyle w:val="FootnoteReference"/>
          <w:sz w:val="24"/>
          <w:szCs w:val="24"/>
          <w:lang w:val="en-GB"/>
        </w:rPr>
        <w:footnoteReference w:id="6"/>
      </w:r>
      <w:r w:rsidR="00800C65" w:rsidRPr="000D0745">
        <w:rPr>
          <w:sz w:val="24"/>
          <w:szCs w:val="24"/>
          <w:lang w:val="en-GB"/>
        </w:rPr>
        <w:t>. CCGs are statutory bodies which have the function of commissioning services for the purposes of the health service in England and are treated as NHS bodies for the purposes of the National Health Service Act 2006 (</w:t>
      </w:r>
      <w:r w:rsidR="00DF3EEE">
        <w:rPr>
          <w:sz w:val="24"/>
          <w:szCs w:val="24"/>
          <w:lang w:val="en-GB"/>
        </w:rPr>
        <w:t>‘</w:t>
      </w:r>
      <w:r w:rsidR="00800C65" w:rsidRPr="000D0745">
        <w:rPr>
          <w:sz w:val="24"/>
          <w:szCs w:val="24"/>
          <w:lang w:val="en-GB"/>
        </w:rPr>
        <w:t>the 2006 Act</w:t>
      </w:r>
      <w:r w:rsidR="00DF3EEE">
        <w:rPr>
          <w:sz w:val="24"/>
          <w:szCs w:val="24"/>
          <w:lang w:val="en-GB"/>
        </w:rPr>
        <w:t>’</w:t>
      </w:r>
      <w:r w:rsidR="00800C65" w:rsidRPr="000D0745">
        <w:rPr>
          <w:sz w:val="24"/>
          <w:szCs w:val="24"/>
          <w:lang w:val="en-GB"/>
        </w:rPr>
        <w:t>). The duties of clinical commissioning groups to commission certain health services are set out in section 3 of the 2006 Act, as amended by section 13 of the 2012 Act, and the regulations made under that provision.</w:t>
      </w:r>
    </w:p>
    <w:p w:rsidR="002638C8" w:rsidRDefault="002638C8" w:rsidP="00C4534A">
      <w:pPr>
        <w:ind w:left="567"/>
        <w:rPr>
          <w:sz w:val="24"/>
          <w:szCs w:val="24"/>
          <w:lang w:val="en-GB"/>
        </w:rPr>
      </w:pPr>
    </w:p>
    <w:p w:rsidR="002638C8" w:rsidRDefault="002638C8" w:rsidP="00C4534A">
      <w:pPr>
        <w:ind w:left="567"/>
        <w:rPr>
          <w:sz w:val="24"/>
          <w:szCs w:val="24"/>
          <w:lang w:val="en-GB"/>
        </w:rPr>
      </w:pPr>
      <w:r w:rsidRPr="002638C8">
        <w:rPr>
          <w:sz w:val="24"/>
          <w:szCs w:val="24"/>
          <w:lang w:val="en-GB"/>
        </w:rPr>
        <w:t>The NHS Principles are outlined in National Health Service (Procurement, Patient Choice and Competition) (No 2) Regulations (2013) and Monitor’s Substantive guidance on the Procurement, Patient Choice and Competition Regulations (2014).  The key deliverables are:</w:t>
      </w:r>
    </w:p>
    <w:p w:rsidR="002638C8" w:rsidRDefault="002638C8" w:rsidP="00C4534A">
      <w:pPr>
        <w:ind w:left="567"/>
        <w:rPr>
          <w:sz w:val="24"/>
          <w:szCs w:val="24"/>
          <w:lang w:val="en-GB"/>
        </w:rPr>
      </w:pPr>
    </w:p>
    <w:p w:rsidR="002638C8" w:rsidRPr="00F079FB" w:rsidRDefault="002638C8" w:rsidP="00C4534A">
      <w:pPr>
        <w:widowControl w:val="0"/>
        <w:numPr>
          <w:ilvl w:val="4"/>
          <w:numId w:val="32"/>
        </w:numPr>
        <w:kinsoku w:val="0"/>
        <w:overflowPunct w:val="0"/>
        <w:autoSpaceDE w:val="0"/>
        <w:autoSpaceDN w:val="0"/>
        <w:adjustRightInd w:val="0"/>
        <w:spacing w:line="252" w:lineRule="exact"/>
        <w:ind w:left="993" w:right="562" w:hanging="426"/>
        <w:rPr>
          <w:rFonts w:cs="Arial"/>
          <w:spacing w:val="-2"/>
          <w:sz w:val="24"/>
          <w:szCs w:val="24"/>
          <w:lang w:val="en-GB" w:eastAsia="en-GB"/>
        </w:rPr>
      </w:pPr>
      <w:r w:rsidRPr="00F079FB">
        <w:rPr>
          <w:rFonts w:cs="Arial"/>
          <w:spacing w:val="-2"/>
          <w:sz w:val="24"/>
          <w:szCs w:val="24"/>
          <w:lang w:val="en-GB" w:eastAsia="en-GB"/>
        </w:rPr>
        <w:t xml:space="preserve">Securing the needs of the people </w:t>
      </w:r>
      <w:r w:rsidR="00F079FB">
        <w:rPr>
          <w:rFonts w:cs="Arial"/>
          <w:spacing w:val="-2"/>
          <w:sz w:val="24"/>
          <w:szCs w:val="24"/>
          <w:lang w:val="en-GB" w:eastAsia="en-GB"/>
        </w:rPr>
        <w:t>who use the services;</w:t>
      </w:r>
    </w:p>
    <w:p w:rsidR="002638C8" w:rsidRPr="00F079FB" w:rsidRDefault="002638C8" w:rsidP="00C4534A">
      <w:pPr>
        <w:widowControl w:val="0"/>
        <w:numPr>
          <w:ilvl w:val="4"/>
          <w:numId w:val="32"/>
        </w:numPr>
        <w:kinsoku w:val="0"/>
        <w:overflowPunct w:val="0"/>
        <w:autoSpaceDE w:val="0"/>
        <w:autoSpaceDN w:val="0"/>
        <w:adjustRightInd w:val="0"/>
        <w:spacing w:line="252" w:lineRule="exact"/>
        <w:ind w:left="993" w:right="562" w:hanging="426"/>
        <w:rPr>
          <w:rFonts w:cs="Arial"/>
          <w:spacing w:val="-2"/>
          <w:sz w:val="24"/>
          <w:szCs w:val="24"/>
          <w:lang w:val="en-GB" w:eastAsia="en-GB"/>
        </w:rPr>
      </w:pPr>
      <w:r w:rsidRPr="00F079FB">
        <w:rPr>
          <w:rFonts w:cs="Arial"/>
          <w:spacing w:val="-2"/>
          <w:sz w:val="24"/>
          <w:szCs w:val="24"/>
          <w:lang w:val="en-GB" w:eastAsia="en-GB"/>
        </w:rPr>
        <w:t xml:space="preserve">Improving </w:t>
      </w:r>
      <w:r w:rsidR="00F079FB">
        <w:rPr>
          <w:rFonts w:cs="Arial"/>
          <w:spacing w:val="-2"/>
          <w:sz w:val="24"/>
          <w:szCs w:val="24"/>
          <w:lang w:val="en-GB" w:eastAsia="en-GB"/>
        </w:rPr>
        <w:t>the quality of the services; and</w:t>
      </w:r>
    </w:p>
    <w:p w:rsidR="002638C8" w:rsidRPr="00F079FB" w:rsidRDefault="002638C8" w:rsidP="00C4534A">
      <w:pPr>
        <w:widowControl w:val="0"/>
        <w:numPr>
          <w:ilvl w:val="4"/>
          <w:numId w:val="32"/>
        </w:numPr>
        <w:autoSpaceDE w:val="0"/>
        <w:autoSpaceDN w:val="0"/>
        <w:adjustRightInd w:val="0"/>
        <w:ind w:left="993" w:hanging="426"/>
        <w:rPr>
          <w:rFonts w:cs="Arial"/>
          <w:sz w:val="24"/>
          <w:szCs w:val="24"/>
          <w:lang w:val="en-GB" w:eastAsia="en-GB"/>
        </w:rPr>
      </w:pPr>
      <w:r w:rsidRPr="00F079FB">
        <w:rPr>
          <w:rFonts w:cs="Arial"/>
          <w:sz w:val="24"/>
          <w:szCs w:val="24"/>
          <w:lang w:val="en-GB" w:eastAsia="en-GB"/>
        </w:rPr>
        <w:t>Improving efficiency in the provision of the services</w:t>
      </w:r>
      <w:r w:rsidR="00F079FB">
        <w:rPr>
          <w:rFonts w:cs="Arial"/>
          <w:sz w:val="24"/>
          <w:szCs w:val="24"/>
          <w:lang w:val="en-GB" w:eastAsia="en-GB"/>
        </w:rPr>
        <w:t>.</w:t>
      </w:r>
    </w:p>
    <w:p w:rsidR="00B315F5" w:rsidRPr="000D0745" w:rsidRDefault="00B315F5" w:rsidP="00C4534A">
      <w:pPr>
        <w:rPr>
          <w:sz w:val="24"/>
          <w:szCs w:val="24"/>
          <w:lang w:val="en-GB"/>
        </w:rPr>
      </w:pPr>
    </w:p>
    <w:p w:rsidR="00800C65" w:rsidRPr="005E6D6E" w:rsidRDefault="00FC1F14" w:rsidP="00C4534A">
      <w:pPr>
        <w:pStyle w:val="Heading1"/>
        <w:numPr>
          <w:ilvl w:val="0"/>
          <w:numId w:val="0"/>
        </w:numPr>
        <w:ind w:left="567" w:hanging="567"/>
        <w:rPr>
          <w:rFonts w:eastAsia="Arial"/>
          <w:sz w:val="24"/>
          <w:szCs w:val="24"/>
        </w:rPr>
      </w:pPr>
      <w:bookmarkStart w:id="27" w:name="_Toc363823746"/>
      <w:bookmarkStart w:id="28" w:name="_Toc454455979"/>
      <w:r w:rsidRPr="005E6D6E">
        <w:rPr>
          <w:rFonts w:eastAsia="Arial"/>
          <w:sz w:val="24"/>
          <w:szCs w:val="24"/>
        </w:rPr>
        <w:t xml:space="preserve">2.2 </w:t>
      </w:r>
      <w:r w:rsidR="005E6D6E">
        <w:rPr>
          <w:rFonts w:eastAsia="Arial"/>
          <w:sz w:val="24"/>
          <w:szCs w:val="24"/>
        </w:rPr>
        <w:tab/>
      </w:r>
      <w:r w:rsidR="00800C65" w:rsidRPr="005E6D6E">
        <w:rPr>
          <w:rFonts w:eastAsia="Arial"/>
          <w:sz w:val="24"/>
          <w:szCs w:val="24"/>
        </w:rPr>
        <w:t xml:space="preserve">Procurement Rules and </w:t>
      </w:r>
      <w:r w:rsidR="00D3686D" w:rsidRPr="005E6D6E">
        <w:rPr>
          <w:rFonts w:eastAsia="Arial"/>
          <w:sz w:val="24"/>
          <w:szCs w:val="24"/>
        </w:rPr>
        <w:t xml:space="preserve">EU </w:t>
      </w:r>
      <w:r w:rsidR="00D3686D">
        <w:rPr>
          <w:rFonts w:eastAsia="Arial"/>
          <w:sz w:val="24"/>
          <w:szCs w:val="24"/>
        </w:rPr>
        <w:t xml:space="preserve">Treaty </w:t>
      </w:r>
      <w:r w:rsidR="00800C65" w:rsidRPr="005E6D6E">
        <w:rPr>
          <w:rFonts w:eastAsia="Arial"/>
          <w:sz w:val="24"/>
          <w:szCs w:val="24"/>
        </w:rPr>
        <w:t>Principles</w:t>
      </w:r>
      <w:bookmarkEnd w:id="27"/>
      <w:bookmarkEnd w:id="28"/>
    </w:p>
    <w:p w:rsidR="00800C65" w:rsidRPr="000D0745" w:rsidRDefault="00800C65" w:rsidP="00C4534A">
      <w:pPr>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29" w:name="_Toc363823747"/>
      <w:bookmarkStart w:id="30" w:name="_Toc454455980"/>
      <w:r w:rsidRPr="000D0745">
        <w:rPr>
          <w:sz w:val="24"/>
          <w:szCs w:val="24"/>
          <w:lang w:val="en-GB"/>
        </w:rPr>
        <w:t>Responsibilities</w:t>
      </w:r>
      <w:bookmarkEnd w:id="29"/>
      <w:bookmarkEnd w:id="30"/>
    </w:p>
    <w:p w:rsidR="00E975C6" w:rsidRPr="000D0745" w:rsidRDefault="00E975C6"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All managers and commissioners with budgetary responsibility must make themselves famili</w:t>
      </w:r>
      <w:r w:rsidR="00AA556E" w:rsidRPr="000D0745">
        <w:rPr>
          <w:sz w:val="24"/>
          <w:szCs w:val="24"/>
          <w:lang w:val="en-GB"/>
        </w:rPr>
        <w:t xml:space="preserve">ar with the </w:t>
      </w:r>
      <w:r w:rsidR="00847A38">
        <w:rPr>
          <w:sz w:val="24"/>
          <w:szCs w:val="24"/>
          <w:lang w:val="en-GB"/>
        </w:rPr>
        <w:t>S</w:t>
      </w:r>
      <w:r w:rsidR="00AA556E" w:rsidRPr="000D0745">
        <w:rPr>
          <w:sz w:val="24"/>
          <w:szCs w:val="24"/>
          <w:lang w:val="en-GB"/>
        </w:rPr>
        <w:t>CCG Standing Orders</w:t>
      </w:r>
      <w:r w:rsidR="00703B68" w:rsidRPr="000D0745">
        <w:rPr>
          <w:sz w:val="24"/>
          <w:szCs w:val="24"/>
          <w:lang w:val="en-GB"/>
        </w:rPr>
        <w:t xml:space="preserve"> (SO)</w:t>
      </w:r>
      <w:r w:rsidR="00AA556E" w:rsidRPr="000D0745">
        <w:rPr>
          <w:sz w:val="24"/>
          <w:szCs w:val="24"/>
          <w:lang w:val="en-GB"/>
        </w:rPr>
        <w:t xml:space="preserve"> and Prime Financial Policies</w:t>
      </w:r>
      <w:r w:rsidR="00703B68" w:rsidRPr="000D0745">
        <w:rPr>
          <w:sz w:val="24"/>
          <w:szCs w:val="24"/>
          <w:lang w:val="en-GB"/>
        </w:rPr>
        <w:t xml:space="preserve"> (PFPs)</w:t>
      </w:r>
      <w:r w:rsidR="00D3686D">
        <w:rPr>
          <w:sz w:val="24"/>
          <w:szCs w:val="24"/>
          <w:lang w:val="en-GB"/>
        </w:rPr>
        <w:t xml:space="preserve">, which form part of </w:t>
      </w:r>
      <w:r w:rsidR="00847A38">
        <w:rPr>
          <w:sz w:val="24"/>
          <w:szCs w:val="24"/>
          <w:lang w:val="en-GB"/>
        </w:rPr>
        <w:t>S</w:t>
      </w:r>
      <w:r w:rsidR="00D3686D">
        <w:rPr>
          <w:sz w:val="24"/>
          <w:szCs w:val="24"/>
          <w:lang w:val="en-GB"/>
        </w:rPr>
        <w:t>CCG’s C</w:t>
      </w:r>
      <w:r w:rsidR="00AA556E" w:rsidRPr="000D0745">
        <w:rPr>
          <w:sz w:val="24"/>
          <w:szCs w:val="24"/>
          <w:lang w:val="en-GB"/>
        </w:rPr>
        <w:t>onstitution, together with relevant detailed financial policies avail</w:t>
      </w:r>
      <w:r w:rsidR="000C1CBF" w:rsidRPr="000D0745">
        <w:rPr>
          <w:sz w:val="24"/>
          <w:szCs w:val="24"/>
          <w:lang w:val="en-GB"/>
        </w:rPr>
        <w:t>able via the intranet</w:t>
      </w:r>
      <w:r w:rsidRPr="000D0745">
        <w:rPr>
          <w:sz w:val="24"/>
          <w:szCs w:val="24"/>
          <w:lang w:val="en-GB"/>
        </w:rPr>
        <w:t xml:space="preserve"> and all relevant procurement procedures described in this document.</w:t>
      </w:r>
    </w:p>
    <w:p w:rsidR="00800C65" w:rsidRPr="000D0745" w:rsidRDefault="00800C65" w:rsidP="00C4534A">
      <w:pPr>
        <w:rPr>
          <w:sz w:val="24"/>
          <w:szCs w:val="24"/>
          <w:lang w:val="en-GB"/>
        </w:rPr>
      </w:pPr>
    </w:p>
    <w:p w:rsidR="00800C65" w:rsidRPr="00DF3EEE" w:rsidRDefault="00800C65" w:rsidP="00C4534A">
      <w:pPr>
        <w:numPr>
          <w:ilvl w:val="0"/>
          <w:numId w:val="4"/>
        </w:numPr>
        <w:ind w:left="993" w:hanging="426"/>
        <w:rPr>
          <w:sz w:val="24"/>
          <w:szCs w:val="24"/>
          <w:lang w:val="en-GB"/>
        </w:rPr>
      </w:pPr>
      <w:r w:rsidRPr="00DF3EEE">
        <w:rPr>
          <w:sz w:val="24"/>
          <w:szCs w:val="24"/>
          <w:lang w:val="en-GB"/>
        </w:rPr>
        <w:t>All procurements will comply with the requirements of the</w:t>
      </w:r>
      <w:r w:rsidR="00703B68" w:rsidRPr="00DF3EEE">
        <w:rPr>
          <w:sz w:val="24"/>
          <w:szCs w:val="24"/>
          <w:lang w:val="en-GB"/>
        </w:rPr>
        <w:t xml:space="preserve"> SO and PFP’s</w:t>
      </w:r>
      <w:r w:rsidR="00DF3EEE">
        <w:rPr>
          <w:sz w:val="24"/>
          <w:szCs w:val="24"/>
          <w:lang w:val="en-GB"/>
        </w:rPr>
        <w:t>.</w:t>
      </w:r>
      <w:r w:rsidR="00703B68" w:rsidRPr="00DF3EEE">
        <w:rPr>
          <w:sz w:val="24"/>
          <w:szCs w:val="24"/>
          <w:lang w:val="en-GB"/>
        </w:rPr>
        <w:t xml:space="preserve"> </w:t>
      </w:r>
    </w:p>
    <w:p w:rsidR="00800C65" w:rsidRPr="00DF3EEE" w:rsidRDefault="00800C65" w:rsidP="00C4534A">
      <w:pPr>
        <w:ind w:left="993" w:hanging="426"/>
        <w:rPr>
          <w:sz w:val="24"/>
          <w:szCs w:val="24"/>
          <w:lang w:val="en-GB"/>
        </w:rPr>
      </w:pPr>
    </w:p>
    <w:p w:rsidR="00800C65" w:rsidRPr="00DF3EEE" w:rsidRDefault="00D3686D" w:rsidP="00C4534A">
      <w:pPr>
        <w:numPr>
          <w:ilvl w:val="0"/>
          <w:numId w:val="4"/>
        </w:numPr>
        <w:ind w:left="993" w:hanging="426"/>
        <w:rPr>
          <w:sz w:val="24"/>
          <w:szCs w:val="24"/>
          <w:lang w:val="en-GB"/>
        </w:rPr>
      </w:pPr>
      <w:r>
        <w:rPr>
          <w:sz w:val="24"/>
          <w:szCs w:val="24"/>
          <w:lang w:val="en-GB"/>
        </w:rPr>
        <w:t>Where applicable, a</w:t>
      </w:r>
      <w:r w:rsidR="00800C65" w:rsidRPr="00DF3EEE">
        <w:rPr>
          <w:sz w:val="24"/>
          <w:szCs w:val="24"/>
          <w:lang w:val="en-GB"/>
        </w:rPr>
        <w:t>ll procurements will comply with the requirements of the European Union (EU) Procurement D</w:t>
      </w:r>
      <w:r>
        <w:rPr>
          <w:sz w:val="24"/>
          <w:szCs w:val="24"/>
          <w:lang w:val="en-GB"/>
        </w:rPr>
        <w:t>irective 2014/24/EU as</w:t>
      </w:r>
      <w:r w:rsidR="00800C65" w:rsidRPr="00DF3EEE">
        <w:rPr>
          <w:sz w:val="24"/>
          <w:szCs w:val="24"/>
          <w:lang w:val="en-GB"/>
        </w:rPr>
        <w:t xml:space="preserve"> </w:t>
      </w:r>
      <w:r>
        <w:rPr>
          <w:sz w:val="24"/>
          <w:szCs w:val="24"/>
          <w:lang w:val="en-GB"/>
        </w:rPr>
        <w:t xml:space="preserve">promulgated in UK law by The Public Contracts Regulations 2015 (‘The Regulations’). Managers and commissioners should seek advice from the NHS South Yorkshire Procurement Service </w:t>
      </w:r>
      <w:r w:rsidR="001A57CE">
        <w:rPr>
          <w:sz w:val="24"/>
          <w:szCs w:val="24"/>
          <w:lang w:val="en-GB"/>
        </w:rPr>
        <w:t xml:space="preserve">(SYPS) </w:t>
      </w:r>
      <w:r>
        <w:rPr>
          <w:sz w:val="24"/>
          <w:szCs w:val="24"/>
          <w:lang w:val="en-GB"/>
        </w:rPr>
        <w:t>to confirm when and if these Regulations apply.</w:t>
      </w:r>
    </w:p>
    <w:p w:rsidR="00BB6006" w:rsidRPr="00DF3EEE" w:rsidRDefault="00BB6006" w:rsidP="00C4534A">
      <w:pPr>
        <w:pStyle w:val="ListParagraph"/>
        <w:ind w:left="993" w:hanging="426"/>
        <w:rPr>
          <w:sz w:val="24"/>
          <w:szCs w:val="24"/>
          <w:lang w:val="en-GB"/>
        </w:rPr>
      </w:pPr>
    </w:p>
    <w:p w:rsidR="00BB6006" w:rsidRPr="00DF3EEE" w:rsidRDefault="00BB6006" w:rsidP="00C4534A">
      <w:pPr>
        <w:numPr>
          <w:ilvl w:val="0"/>
          <w:numId w:val="4"/>
        </w:numPr>
        <w:ind w:left="993" w:hanging="426"/>
        <w:rPr>
          <w:sz w:val="24"/>
          <w:szCs w:val="24"/>
          <w:lang w:val="en-GB"/>
        </w:rPr>
      </w:pPr>
      <w:r w:rsidRPr="00DF3EEE">
        <w:rPr>
          <w:sz w:val="24"/>
          <w:szCs w:val="24"/>
          <w:lang w:val="en-GB"/>
        </w:rPr>
        <w:t xml:space="preserve">All clinical service procurements will abide by </w:t>
      </w:r>
      <w:r w:rsidR="003E2EE2">
        <w:rPr>
          <w:sz w:val="24"/>
          <w:szCs w:val="24"/>
          <w:lang w:val="en-GB"/>
        </w:rPr>
        <w:t>NHSI</w:t>
      </w:r>
      <w:r w:rsidRPr="00DF3EEE">
        <w:rPr>
          <w:sz w:val="24"/>
          <w:szCs w:val="24"/>
          <w:lang w:val="en-GB"/>
        </w:rPr>
        <w:t>’s Substantive guidance on the Procurement, Patient Choice and Competition Regulations</w:t>
      </w:r>
      <w:r w:rsidR="00DF3EEE">
        <w:rPr>
          <w:sz w:val="24"/>
          <w:szCs w:val="24"/>
          <w:lang w:val="en-GB"/>
        </w:rPr>
        <w:t>.</w:t>
      </w:r>
    </w:p>
    <w:p w:rsidR="00800C65" w:rsidRPr="000D0745" w:rsidRDefault="00800C65" w:rsidP="00C4534A">
      <w:pPr>
        <w:ind w:left="993" w:hanging="426"/>
        <w:rPr>
          <w:sz w:val="24"/>
          <w:szCs w:val="24"/>
          <w:lang w:val="en-GB"/>
        </w:rPr>
      </w:pPr>
    </w:p>
    <w:p w:rsidR="00800C65" w:rsidRDefault="000843EC" w:rsidP="00C4534A">
      <w:pPr>
        <w:ind w:left="567"/>
        <w:rPr>
          <w:sz w:val="24"/>
          <w:szCs w:val="24"/>
          <w:lang w:val="en-GB"/>
        </w:rPr>
      </w:pPr>
      <w:r>
        <w:rPr>
          <w:sz w:val="24"/>
          <w:szCs w:val="24"/>
          <w:lang w:val="en-GB"/>
        </w:rPr>
        <w:t xml:space="preserve">The EU Treaty </w:t>
      </w:r>
      <w:r w:rsidR="00800C65" w:rsidRPr="000D0745">
        <w:rPr>
          <w:sz w:val="24"/>
          <w:szCs w:val="24"/>
          <w:lang w:val="en-GB"/>
        </w:rPr>
        <w:t xml:space="preserve">and </w:t>
      </w:r>
      <w:r>
        <w:rPr>
          <w:sz w:val="24"/>
          <w:szCs w:val="24"/>
          <w:lang w:val="en-GB"/>
        </w:rPr>
        <w:t xml:space="preserve">EU Directive on procurement </w:t>
      </w:r>
      <w:r w:rsidRPr="000D0745">
        <w:rPr>
          <w:sz w:val="24"/>
          <w:szCs w:val="24"/>
          <w:lang w:val="en-GB"/>
        </w:rPr>
        <w:t>require</w:t>
      </w:r>
      <w:r w:rsidR="00800C65" w:rsidRPr="000D0745">
        <w:rPr>
          <w:sz w:val="24"/>
          <w:szCs w:val="24"/>
          <w:lang w:val="en-GB"/>
        </w:rPr>
        <w:t xml:space="preserve"> competition as the mechanism by which contracting authorities ensure equality of treatment, tran</w:t>
      </w:r>
      <w:r>
        <w:rPr>
          <w:sz w:val="24"/>
          <w:szCs w:val="24"/>
          <w:lang w:val="en-GB"/>
        </w:rPr>
        <w:t>sparency and non-discrimination of providers.</w:t>
      </w:r>
    </w:p>
    <w:p w:rsidR="000843EC" w:rsidRDefault="000843EC" w:rsidP="00C4534A">
      <w:pPr>
        <w:ind w:left="567"/>
        <w:rPr>
          <w:sz w:val="24"/>
          <w:szCs w:val="24"/>
          <w:lang w:val="en-GB"/>
        </w:rPr>
      </w:pPr>
    </w:p>
    <w:p w:rsidR="000843EC" w:rsidRDefault="000843EC" w:rsidP="00C4534A">
      <w:pPr>
        <w:ind w:left="567"/>
        <w:rPr>
          <w:sz w:val="24"/>
          <w:szCs w:val="24"/>
          <w:lang w:val="en-GB"/>
        </w:rPr>
      </w:pPr>
      <w:r>
        <w:rPr>
          <w:sz w:val="24"/>
          <w:szCs w:val="24"/>
          <w:lang w:val="en-GB"/>
        </w:rPr>
        <w:t xml:space="preserve">Regardless of whether procurement </w:t>
      </w:r>
      <w:proofErr w:type="gramStart"/>
      <w:r>
        <w:rPr>
          <w:sz w:val="24"/>
          <w:szCs w:val="24"/>
          <w:lang w:val="en-GB"/>
        </w:rPr>
        <w:t>is</w:t>
      </w:r>
      <w:r w:rsidR="001371A5">
        <w:rPr>
          <w:sz w:val="24"/>
          <w:szCs w:val="24"/>
          <w:lang w:val="en-GB"/>
        </w:rPr>
        <w:t xml:space="preserve"> an </w:t>
      </w:r>
      <w:r>
        <w:rPr>
          <w:sz w:val="24"/>
          <w:szCs w:val="24"/>
          <w:lang w:val="en-GB"/>
        </w:rPr>
        <w:t>‘above</w:t>
      </w:r>
      <w:proofErr w:type="gramEnd"/>
      <w:r>
        <w:rPr>
          <w:sz w:val="24"/>
          <w:szCs w:val="24"/>
          <w:lang w:val="en-GB"/>
        </w:rPr>
        <w:t xml:space="preserve"> threshold’ procurement, i.e. the contract value </w:t>
      </w:r>
      <w:r w:rsidR="001371A5">
        <w:rPr>
          <w:sz w:val="24"/>
          <w:szCs w:val="24"/>
          <w:lang w:val="en-GB"/>
        </w:rPr>
        <w:t xml:space="preserve">exceeds the </w:t>
      </w:r>
      <w:r>
        <w:rPr>
          <w:sz w:val="24"/>
          <w:szCs w:val="24"/>
          <w:lang w:val="en-GB"/>
        </w:rPr>
        <w:t>threshold level above which it is mandatory to advertise the procurement in the Official Journal of the European Union (OJEU), it is important to note that the</w:t>
      </w:r>
      <w:r w:rsidR="001371A5">
        <w:rPr>
          <w:sz w:val="24"/>
          <w:szCs w:val="24"/>
          <w:lang w:val="en-GB"/>
        </w:rPr>
        <w:t xml:space="preserve"> EU</w:t>
      </w:r>
      <w:r>
        <w:rPr>
          <w:sz w:val="24"/>
          <w:szCs w:val="24"/>
          <w:lang w:val="en-GB"/>
        </w:rPr>
        <w:t xml:space="preserve"> Treaty Principles still apply.</w:t>
      </w:r>
    </w:p>
    <w:p w:rsidR="00B41F76" w:rsidRPr="00B41F76" w:rsidRDefault="00B41F76" w:rsidP="00B41F76">
      <w:pPr>
        <w:rPr>
          <w:sz w:val="24"/>
          <w:szCs w:val="24"/>
          <w:lang w:val="en-GB"/>
        </w:rPr>
      </w:pPr>
    </w:p>
    <w:p w:rsidR="00800C65" w:rsidRPr="000D0745" w:rsidRDefault="00800C65" w:rsidP="00C4534A">
      <w:pPr>
        <w:rPr>
          <w:sz w:val="24"/>
          <w:szCs w:val="24"/>
          <w:lang w:val="en-GB"/>
        </w:rPr>
      </w:pPr>
    </w:p>
    <w:p w:rsidR="00C84EDE" w:rsidRPr="000D0745" w:rsidRDefault="00730634" w:rsidP="00C4534A">
      <w:pPr>
        <w:pStyle w:val="Heading2"/>
        <w:numPr>
          <w:ilvl w:val="2"/>
          <w:numId w:val="16"/>
        </w:numPr>
        <w:ind w:left="1276" w:hanging="709"/>
        <w:jc w:val="left"/>
        <w:rPr>
          <w:sz w:val="24"/>
          <w:szCs w:val="24"/>
          <w:lang w:val="en-GB"/>
        </w:rPr>
      </w:pPr>
      <w:bookmarkStart w:id="31" w:name="_Toc363823748"/>
      <w:bookmarkStart w:id="32" w:name="_Toc454455981"/>
      <w:r>
        <w:rPr>
          <w:sz w:val="24"/>
          <w:szCs w:val="24"/>
          <w:lang w:val="en-GB"/>
        </w:rPr>
        <w:t xml:space="preserve">Health and Social Care Act </w:t>
      </w:r>
      <w:r w:rsidR="00C84EDE" w:rsidRPr="000D0745">
        <w:rPr>
          <w:sz w:val="24"/>
          <w:szCs w:val="24"/>
          <w:lang w:val="en-GB"/>
        </w:rPr>
        <w:t>2012</w:t>
      </w:r>
      <w:bookmarkEnd w:id="31"/>
      <w:bookmarkEnd w:id="32"/>
    </w:p>
    <w:p w:rsidR="00C84EDE" w:rsidRPr="000D0745" w:rsidRDefault="00C84EDE" w:rsidP="00C4534A">
      <w:pPr>
        <w:rPr>
          <w:sz w:val="24"/>
          <w:szCs w:val="24"/>
          <w:lang w:val="en-GB" w:eastAsia="en-GB"/>
        </w:rPr>
      </w:pPr>
    </w:p>
    <w:p w:rsidR="00BD5E87" w:rsidRPr="000D0745" w:rsidRDefault="00BD5E87" w:rsidP="00C4534A">
      <w:pPr>
        <w:ind w:left="567"/>
        <w:rPr>
          <w:sz w:val="24"/>
          <w:szCs w:val="24"/>
          <w:lang w:val="en-GB" w:eastAsia="en-GB"/>
        </w:rPr>
      </w:pPr>
      <w:r w:rsidRPr="000D0745">
        <w:rPr>
          <w:sz w:val="24"/>
          <w:szCs w:val="24"/>
          <w:lang w:val="en-GB" w:eastAsia="en-GB"/>
        </w:rPr>
        <w:t xml:space="preserve">The Health and Social Care Act describes the responsibilities of the </w:t>
      </w:r>
      <w:r w:rsidR="00DF3EEE">
        <w:rPr>
          <w:sz w:val="24"/>
          <w:szCs w:val="24"/>
          <w:lang w:val="en-GB" w:eastAsia="en-GB"/>
        </w:rPr>
        <w:t>c</w:t>
      </w:r>
      <w:r w:rsidRPr="000D0745">
        <w:rPr>
          <w:sz w:val="24"/>
          <w:szCs w:val="24"/>
          <w:lang w:val="en-GB" w:eastAsia="en-GB"/>
        </w:rPr>
        <w:t>ommissioning organisations with</w:t>
      </w:r>
      <w:r w:rsidR="006C5BBD">
        <w:rPr>
          <w:sz w:val="24"/>
          <w:szCs w:val="24"/>
          <w:lang w:val="en-GB" w:eastAsia="en-GB"/>
        </w:rPr>
        <w:t>in</w:t>
      </w:r>
      <w:r w:rsidRPr="000D0745">
        <w:rPr>
          <w:sz w:val="24"/>
          <w:szCs w:val="24"/>
          <w:lang w:val="en-GB" w:eastAsia="en-GB"/>
        </w:rPr>
        <w:t xml:space="preserve"> the NHS and </w:t>
      </w:r>
      <w:r w:rsidR="006C5BBD">
        <w:rPr>
          <w:sz w:val="24"/>
          <w:szCs w:val="24"/>
          <w:lang w:val="en-GB" w:eastAsia="en-GB"/>
        </w:rPr>
        <w:t xml:space="preserve">the </w:t>
      </w:r>
      <w:r w:rsidRPr="000D0745">
        <w:rPr>
          <w:sz w:val="24"/>
          <w:szCs w:val="24"/>
          <w:lang w:val="en-GB" w:eastAsia="en-GB"/>
        </w:rPr>
        <w:t>wider UK healthcare landscape.</w:t>
      </w:r>
    </w:p>
    <w:p w:rsidR="00BD5E87" w:rsidRPr="000D0745" w:rsidRDefault="00BD5E87" w:rsidP="00C4534A">
      <w:pPr>
        <w:rPr>
          <w:sz w:val="24"/>
          <w:szCs w:val="24"/>
          <w:lang w:val="en-GB" w:eastAsia="en-GB"/>
        </w:rPr>
      </w:pPr>
    </w:p>
    <w:p w:rsidR="00E975C6" w:rsidRPr="000D0745" w:rsidRDefault="00E975C6" w:rsidP="00C4534A">
      <w:pPr>
        <w:pStyle w:val="Heading3"/>
        <w:numPr>
          <w:ilvl w:val="2"/>
          <w:numId w:val="16"/>
        </w:numPr>
        <w:ind w:left="1276" w:hanging="709"/>
        <w:jc w:val="left"/>
        <w:rPr>
          <w:sz w:val="24"/>
          <w:szCs w:val="24"/>
        </w:rPr>
      </w:pPr>
      <w:bookmarkStart w:id="33" w:name="_Toc454455982"/>
      <w:r w:rsidRPr="000D0745">
        <w:rPr>
          <w:sz w:val="24"/>
          <w:szCs w:val="24"/>
        </w:rPr>
        <w:t>Integrated Care, Choice and Competition</w:t>
      </w:r>
      <w:bookmarkEnd w:id="33"/>
    </w:p>
    <w:p w:rsidR="00E975C6" w:rsidRPr="000D0745" w:rsidRDefault="00E975C6" w:rsidP="00C4534A">
      <w:pPr>
        <w:rPr>
          <w:sz w:val="24"/>
          <w:szCs w:val="24"/>
          <w:lang w:val="en-GB" w:eastAsia="en-GB"/>
        </w:rPr>
      </w:pPr>
    </w:p>
    <w:p w:rsidR="00FC03B2" w:rsidRDefault="00C84EDE" w:rsidP="00C4534A">
      <w:pPr>
        <w:ind w:left="567"/>
        <w:rPr>
          <w:sz w:val="24"/>
          <w:szCs w:val="24"/>
          <w:lang w:val="en-GB" w:eastAsia="en-GB"/>
        </w:rPr>
      </w:pPr>
      <w:r w:rsidRPr="000D0745">
        <w:rPr>
          <w:sz w:val="24"/>
          <w:szCs w:val="24"/>
          <w:lang w:val="en-GB" w:eastAsia="en-GB"/>
        </w:rPr>
        <w:t xml:space="preserve">A key feature of the Health and Social Care Act is the emphasis on Integrated Care. Section 75 of the Act entitled </w:t>
      </w:r>
      <w:r w:rsidR="00DF3EEE">
        <w:rPr>
          <w:sz w:val="24"/>
          <w:szCs w:val="24"/>
          <w:lang w:val="en-GB" w:eastAsia="en-GB"/>
        </w:rPr>
        <w:t>‘</w:t>
      </w:r>
      <w:r w:rsidRPr="000D0745">
        <w:rPr>
          <w:sz w:val="24"/>
          <w:szCs w:val="24"/>
          <w:lang w:val="en-GB" w:eastAsia="en-GB"/>
        </w:rPr>
        <w:t>Procurement, Patient Choice and Competition Regulations</w:t>
      </w:r>
      <w:r w:rsidR="00DF3EEE">
        <w:rPr>
          <w:sz w:val="24"/>
          <w:szCs w:val="24"/>
          <w:lang w:val="en-GB" w:eastAsia="en-GB"/>
        </w:rPr>
        <w:t>’</w:t>
      </w:r>
      <w:r w:rsidRPr="000D0745">
        <w:rPr>
          <w:sz w:val="24"/>
          <w:szCs w:val="24"/>
          <w:lang w:val="en-GB" w:eastAsia="en-GB"/>
        </w:rPr>
        <w:t xml:space="preserve"> requires commissioners to consider how they can procure services in a more integrated fashion to consider other Healthcare services, Healthcare related services and Social services. </w:t>
      </w:r>
    </w:p>
    <w:p w:rsidR="00FC03B2" w:rsidRDefault="00FC03B2" w:rsidP="00C4534A">
      <w:pPr>
        <w:ind w:left="567"/>
        <w:rPr>
          <w:sz w:val="24"/>
          <w:szCs w:val="24"/>
          <w:lang w:val="en-GB" w:eastAsia="en-GB"/>
        </w:rPr>
      </w:pPr>
    </w:p>
    <w:p w:rsidR="00C84EDE" w:rsidRPr="000D0745" w:rsidRDefault="00C84EDE" w:rsidP="00C4534A">
      <w:pPr>
        <w:ind w:left="567"/>
        <w:rPr>
          <w:sz w:val="24"/>
          <w:szCs w:val="24"/>
          <w:lang w:val="en-GB" w:eastAsia="en-GB"/>
        </w:rPr>
      </w:pPr>
      <w:r w:rsidRPr="000D0745">
        <w:rPr>
          <w:sz w:val="24"/>
          <w:szCs w:val="24"/>
          <w:lang w:val="en-GB" w:eastAsia="en-GB"/>
        </w:rPr>
        <w:t>The Regulations ask commissioners to consider when procuring services the impact on the patient who may have multiple healthcare needs and hence</w:t>
      </w:r>
      <w:r w:rsidR="005E6D6E">
        <w:rPr>
          <w:sz w:val="24"/>
          <w:szCs w:val="24"/>
          <w:lang w:val="en-GB" w:eastAsia="en-GB"/>
        </w:rPr>
        <w:t xml:space="preserve"> may traditionally have had to:</w:t>
      </w:r>
    </w:p>
    <w:p w:rsidR="00C84EDE" w:rsidRPr="000D0745" w:rsidRDefault="00C84EDE" w:rsidP="00C4534A">
      <w:pPr>
        <w:rPr>
          <w:sz w:val="24"/>
          <w:szCs w:val="24"/>
          <w:lang w:val="en-GB" w:eastAsia="en-GB"/>
        </w:rPr>
      </w:pP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from a number of different healthcare team</w:t>
      </w:r>
      <w:r w:rsidR="005E6D6E">
        <w:rPr>
          <w:sz w:val="24"/>
          <w:szCs w:val="24"/>
          <w:lang w:val="en-GB" w:eastAsia="en-GB"/>
        </w:rPr>
        <w:t>s across a range of disciplines;</w:t>
      </w: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over a</w:t>
      </w:r>
      <w:r w:rsidR="005E6D6E">
        <w:rPr>
          <w:sz w:val="24"/>
          <w:szCs w:val="24"/>
          <w:lang w:val="en-GB" w:eastAsia="en-GB"/>
        </w:rPr>
        <w:t xml:space="preserve"> number of different sites; or</w:t>
      </w: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from a number of</w:t>
      </w:r>
      <w:r w:rsidR="005E6D6E">
        <w:rPr>
          <w:sz w:val="24"/>
          <w:szCs w:val="24"/>
          <w:lang w:val="en-GB" w:eastAsia="en-GB"/>
        </w:rPr>
        <w:t xml:space="preserve"> different healthcare providers.</w:t>
      </w:r>
    </w:p>
    <w:p w:rsidR="00C84EDE" w:rsidRPr="000D0745" w:rsidRDefault="00C84EDE" w:rsidP="00C4534A">
      <w:pPr>
        <w:rPr>
          <w:sz w:val="24"/>
          <w:szCs w:val="24"/>
          <w:lang w:val="en-GB" w:eastAsia="en-GB"/>
        </w:rPr>
      </w:pPr>
    </w:p>
    <w:p w:rsidR="00C84EDE" w:rsidRPr="000D0745" w:rsidRDefault="00C84EDE" w:rsidP="00C4534A">
      <w:pPr>
        <w:ind w:left="567"/>
        <w:rPr>
          <w:sz w:val="24"/>
          <w:szCs w:val="24"/>
          <w:lang w:val="en-GB" w:eastAsia="en-GB"/>
        </w:rPr>
      </w:pPr>
      <w:r w:rsidRPr="000D0745">
        <w:rPr>
          <w:sz w:val="24"/>
          <w:szCs w:val="24"/>
          <w:lang w:val="en-GB" w:eastAsia="en-GB"/>
        </w:rPr>
        <w:t xml:space="preserve">No direct solution is given to address the issue other than to ensure that when procuring services they interface in a way which gives the patient a seamless service. </w:t>
      </w:r>
      <w:r w:rsidR="003E2EE2">
        <w:rPr>
          <w:sz w:val="24"/>
          <w:szCs w:val="24"/>
          <w:lang w:val="en-GB" w:eastAsia="en-GB"/>
        </w:rPr>
        <w:t>NHSI</w:t>
      </w:r>
      <w:r w:rsidRPr="000D0745">
        <w:rPr>
          <w:sz w:val="24"/>
          <w:szCs w:val="24"/>
          <w:lang w:val="en-GB" w:eastAsia="en-GB"/>
        </w:rPr>
        <w:t xml:space="preserve"> may test a commissioner’s effectiveness in this by asking providers how they will co-operate in the delivery of a patients care with other providers. </w:t>
      </w:r>
    </w:p>
    <w:p w:rsidR="00C84EDE" w:rsidRPr="000D0745" w:rsidRDefault="00C84EDE" w:rsidP="00C4534A">
      <w:pPr>
        <w:ind w:left="567"/>
        <w:rPr>
          <w:sz w:val="24"/>
          <w:szCs w:val="24"/>
          <w:lang w:val="en-GB" w:eastAsia="en-GB"/>
        </w:rPr>
      </w:pPr>
    </w:p>
    <w:p w:rsidR="00BB6006" w:rsidRDefault="00C84EDE" w:rsidP="00C4534A">
      <w:pPr>
        <w:ind w:left="567"/>
        <w:rPr>
          <w:sz w:val="24"/>
          <w:szCs w:val="24"/>
          <w:lang w:val="en-GB" w:eastAsia="en-GB"/>
        </w:rPr>
      </w:pPr>
      <w:r w:rsidRPr="000D0745">
        <w:rPr>
          <w:sz w:val="24"/>
          <w:szCs w:val="24"/>
          <w:lang w:val="en-GB" w:eastAsia="en-GB"/>
        </w:rPr>
        <w:t xml:space="preserve">In relation to Choice and Competition, commissioners are required to ensure appropriate choice and competition exists in the market to drive up quality and efficiency. In testing this </w:t>
      </w:r>
      <w:r w:rsidR="003E2EE2">
        <w:rPr>
          <w:sz w:val="24"/>
          <w:szCs w:val="24"/>
          <w:lang w:val="en-GB" w:eastAsia="en-GB"/>
        </w:rPr>
        <w:t>NHSI</w:t>
      </w:r>
      <w:r w:rsidRPr="000D0745">
        <w:rPr>
          <w:sz w:val="24"/>
          <w:szCs w:val="24"/>
          <w:lang w:val="en-GB" w:eastAsia="en-GB"/>
        </w:rPr>
        <w:t xml:space="preserve"> will assess how available </w:t>
      </w:r>
      <w:r w:rsidR="00DF3EEE">
        <w:rPr>
          <w:sz w:val="24"/>
          <w:szCs w:val="24"/>
          <w:lang w:val="en-GB" w:eastAsia="en-GB"/>
        </w:rPr>
        <w:t>‘</w:t>
      </w:r>
      <w:r w:rsidRPr="000D0745">
        <w:rPr>
          <w:sz w:val="24"/>
          <w:szCs w:val="24"/>
          <w:lang w:val="en-GB" w:eastAsia="en-GB"/>
        </w:rPr>
        <w:t>Choice</w:t>
      </w:r>
      <w:r w:rsidR="00DF3EEE">
        <w:rPr>
          <w:sz w:val="24"/>
          <w:szCs w:val="24"/>
          <w:lang w:val="en-GB" w:eastAsia="en-GB"/>
        </w:rPr>
        <w:t>’</w:t>
      </w:r>
      <w:r w:rsidRPr="000D0745">
        <w:rPr>
          <w:sz w:val="24"/>
          <w:szCs w:val="24"/>
          <w:lang w:val="en-GB" w:eastAsia="en-GB"/>
        </w:rPr>
        <w:t xml:space="preserve"> is for patients and whether the number of providers in a particular market impacts on the incentive for providers to improve patient care. Where plurality of providers does</w:t>
      </w:r>
      <w:r w:rsidR="00FC03B2">
        <w:rPr>
          <w:sz w:val="24"/>
          <w:szCs w:val="24"/>
          <w:lang w:val="en-GB" w:eastAsia="en-GB"/>
        </w:rPr>
        <w:t xml:space="preserve"> no</w:t>
      </w:r>
      <w:r w:rsidRPr="000D0745">
        <w:rPr>
          <w:sz w:val="24"/>
          <w:szCs w:val="24"/>
          <w:lang w:val="en-GB" w:eastAsia="en-GB"/>
        </w:rPr>
        <w:t>t exist there is no requirement to introduce this until the incumbent provider’s contract is up for renewal.</w:t>
      </w:r>
    </w:p>
    <w:p w:rsidR="00B83B61" w:rsidRDefault="00B83B61" w:rsidP="00C4534A">
      <w:pPr>
        <w:ind w:left="567"/>
        <w:rPr>
          <w:sz w:val="24"/>
          <w:szCs w:val="24"/>
          <w:lang w:val="en-GB" w:eastAsia="en-GB"/>
        </w:rPr>
      </w:pPr>
    </w:p>
    <w:p w:rsidR="00380CE8" w:rsidRDefault="00380CE8" w:rsidP="00C4534A">
      <w:pPr>
        <w:ind w:left="567"/>
        <w:rPr>
          <w:sz w:val="24"/>
          <w:szCs w:val="24"/>
          <w:lang w:val="en-GB" w:eastAsia="en-GB"/>
        </w:rPr>
      </w:pPr>
    </w:p>
    <w:p w:rsidR="00380CE8" w:rsidRPr="000D0745" w:rsidRDefault="00380CE8" w:rsidP="00C4534A">
      <w:pPr>
        <w:ind w:left="567"/>
        <w:rPr>
          <w:sz w:val="24"/>
          <w:szCs w:val="24"/>
          <w:lang w:val="en-GB" w:eastAsia="en-GB"/>
        </w:rPr>
      </w:pPr>
    </w:p>
    <w:p w:rsidR="00C84EDE" w:rsidRPr="000D0745" w:rsidRDefault="00C84EDE" w:rsidP="00C4534A">
      <w:pPr>
        <w:rPr>
          <w:sz w:val="24"/>
          <w:szCs w:val="24"/>
          <w:lang w:val="en-GB" w:eastAsia="en-GB"/>
        </w:rPr>
      </w:pPr>
    </w:p>
    <w:p w:rsidR="00E975C6" w:rsidRPr="000D0745" w:rsidRDefault="00E975C6" w:rsidP="00C4534A">
      <w:pPr>
        <w:pStyle w:val="Heading3"/>
        <w:numPr>
          <w:ilvl w:val="2"/>
          <w:numId w:val="16"/>
        </w:numPr>
        <w:ind w:left="1276" w:hanging="709"/>
        <w:jc w:val="left"/>
        <w:rPr>
          <w:sz w:val="24"/>
          <w:szCs w:val="24"/>
        </w:rPr>
      </w:pPr>
      <w:bookmarkStart w:id="34" w:name="_Toc454455983"/>
      <w:r w:rsidRPr="000D0745">
        <w:rPr>
          <w:sz w:val="24"/>
          <w:szCs w:val="24"/>
        </w:rPr>
        <w:lastRenderedPageBreak/>
        <w:t>Publishing Contract Opportunities</w:t>
      </w:r>
      <w:bookmarkEnd w:id="34"/>
    </w:p>
    <w:p w:rsidR="00E975C6" w:rsidRPr="000D0745" w:rsidRDefault="00E975C6" w:rsidP="00C4534A">
      <w:pPr>
        <w:rPr>
          <w:sz w:val="24"/>
          <w:szCs w:val="24"/>
          <w:lang w:val="en-GB" w:eastAsia="en-GB"/>
        </w:rPr>
      </w:pPr>
    </w:p>
    <w:p w:rsidR="00E975C6" w:rsidRPr="000D0745" w:rsidRDefault="00E975C6" w:rsidP="00C4534A">
      <w:pPr>
        <w:ind w:left="567"/>
        <w:rPr>
          <w:sz w:val="24"/>
          <w:szCs w:val="24"/>
          <w:lang w:val="en-GB" w:eastAsia="en-GB"/>
        </w:rPr>
      </w:pPr>
      <w:r w:rsidRPr="000D0745">
        <w:rPr>
          <w:sz w:val="24"/>
          <w:szCs w:val="24"/>
          <w:lang w:val="en-GB" w:eastAsia="en-GB"/>
        </w:rPr>
        <w:t xml:space="preserve">The </w:t>
      </w:r>
      <w:r w:rsidR="00730634">
        <w:rPr>
          <w:sz w:val="24"/>
          <w:szCs w:val="24"/>
          <w:lang w:val="en-GB" w:eastAsia="en-GB"/>
        </w:rPr>
        <w:t xml:space="preserve">Health and Social Care </w:t>
      </w:r>
      <w:r w:rsidRPr="000D0745">
        <w:rPr>
          <w:sz w:val="24"/>
          <w:szCs w:val="24"/>
          <w:lang w:val="en-GB" w:eastAsia="en-GB"/>
        </w:rPr>
        <w:t xml:space="preserve">Act </w:t>
      </w:r>
      <w:r w:rsidR="00730634">
        <w:rPr>
          <w:sz w:val="24"/>
          <w:szCs w:val="24"/>
          <w:lang w:val="en-GB" w:eastAsia="en-GB"/>
        </w:rPr>
        <w:t xml:space="preserve">2012 </w:t>
      </w:r>
      <w:r w:rsidRPr="000D0745">
        <w:rPr>
          <w:sz w:val="24"/>
          <w:szCs w:val="24"/>
          <w:lang w:val="en-GB" w:eastAsia="en-GB"/>
        </w:rPr>
        <w:t>deals with the requirements for</w:t>
      </w:r>
      <w:r w:rsidR="005E6D6E">
        <w:rPr>
          <w:sz w:val="24"/>
          <w:szCs w:val="24"/>
          <w:lang w:val="en-GB" w:eastAsia="en-GB"/>
        </w:rPr>
        <w:t>:</w:t>
      </w:r>
      <w:r w:rsidRPr="000D0745">
        <w:rPr>
          <w:sz w:val="24"/>
          <w:szCs w:val="24"/>
          <w:lang w:val="en-GB" w:eastAsia="en-GB"/>
        </w:rPr>
        <w:t xml:space="preserve"> </w:t>
      </w:r>
    </w:p>
    <w:p w:rsidR="00E975C6" w:rsidRPr="000D0745" w:rsidRDefault="00E975C6" w:rsidP="00C4534A">
      <w:pPr>
        <w:rPr>
          <w:sz w:val="24"/>
          <w:szCs w:val="24"/>
          <w:lang w:val="en-GB" w:eastAsia="en-GB"/>
        </w:rPr>
      </w:pP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 xml:space="preserve">NHS England to maintain a website in which commissioners can publish notices (i.e. </w:t>
      </w:r>
      <w:r w:rsidR="00BB6006">
        <w:rPr>
          <w:sz w:val="24"/>
          <w:szCs w:val="24"/>
          <w:lang w:val="en-GB" w:eastAsia="en-GB"/>
        </w:rPr>
        <w:t>Contractsfinder</w:t>
      </w:r>
      <w:r w:rsidR="00EF6EF8" w:rsidRPr="00F55A4C">
        <w:rPr>
          <w:rStyle w:val="FootnoteReference"/>
          <w:sz w:val="20"/>
          <w:lang w:val="en-GB" w:eastAsia="en-GB"/>
        </w:rPr>
        <w:footnoteReference w:id="7"/>
      </w:r>
      <w:r w:rsidR="005E6D6E">
        <w:rPr>
          <w:sz w:val="24"/>
          <w:szCs w:val="24"/>
          <w:lang w:val="en-GB" w:eastAsia="en-GB"/>
        </w:rPr>
        <w:t>);</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Arrangements to be put in place to enable providers to express interests in providing serv</w:t>
      </w:r>
      <w:r w:rsidR="005E6D6E">
        <w:rPr>
          <w:sz w:val="24"/>
          <w:szCs w:val="24"/>
          <w:lang w:val="en-GB" w:eastAsia="en-GB"/>
        </w:rPr>
        <w:t>ices;</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Commissioners to publish a notice where they do intend to publish their intention to seek offers fr</w:t>
      </w:r>
      <w:r w:rsidR="005E6D6E">
        <w:rPr>
          <w:sz w:val="24"/>
          <w:szCs w:val="24"/>
          <w:lang w:val="en-GB" w:eastAsia="en-GB"/>
        </w:rPr>
        <w:t>om providers for a new contract;</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T</w:t>
      </w:r>
      <w:r w:rsidR="005E6D6E">
        <w:rPr>
          <w:sz w:val="24"/>
          <w:szCs w:val="24"/>
          <w:lang w:val="en-GB" w:eastAsia="en-GB"/>
        </w:rPr>
        <w:t>he content of published notices; and</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 xml:space="preserve">The ability of commissioners to avoid posting a notice where they don’t wish to invite interest from providers and which to award the </w:t>
      </w:r>
      <w:r w:rsidR="005E6D6E">
        <w:rPr>
          <w:sz w:val="24"/>
          <w:szCs w:val="24"/>
          <w:lang w:val="en-GB" w:eastAsia="en-GB"/>
        </w:rPr>
        <w:t>contract with a single provider.</w:t>
      </w:r>
    </w:p>
    <w:p w:rsidR="00E975C6" w:rsidRPr="000D0745" w:rsidRDefault="00E975C6" w:rsidP="00C4534A">
      <w:pPr>
        <w:rPr>
          <w:sz w:val="24"/>
          <w:szCs w:val="24"/>
          <w:lang w:val="en-GB" w:eastAsia="en-GB"/>
        </w:rPr>
      </w:pPr>
    </w:p>
    <w:p w:rsidR="00E975C6" w:rsidRPr="000D0745" w:rsidRDefault="00E975C6" w:rsidP="00C4534A">
      <w:pPr>
        <w:autoSpaceDE w:val="0"/>
        <w:autoSpaceDN w:val="0"/>
        <w:adjustRightInd w:val="0"/>
        <w:ind w:left="567"/>
        <w:rPr>
          <w:sz w:val="24"/>
          <w:szCs w:val="24"/>
          <w:lang w:val="en-GB" w:eastAsia="en-GB"/>
        </w:rPr>
      </w:pPr>
      <w:r w:rsidRPr="000D0745">
        <w:rPr>
          <w:sz w:val="24"/>
          <w:szCs w:val="24"/>
          <w:lang w:val="en-GB" w:eastAsia="en-GB"/>
        </w:rPr>
        <w:t xml:space="preserve">In assessing the decision to not publish a notice </w:t>
      </w:r>
      <w:r w:rsidR="003E2EE2">
        <w:rPr>
          <w:sz w:val="24"/>
          <w:szCs w:val="24"/>
          <w:lang w:val="en-GB" w:eastAsia="en-GB"/>
        </w:rPr>
        <w:t>NHSI</w:t>
      </w:r>
      <w:r w:rsidRPr="000D0745">
        <w:rPr>
          <w:sz w:val="24"/>
          <w:szCs w:val="24"/>
          <w:lang w:val="en-GB" w:eastAsia="en-GB"/>
        </w:rPr>
        <w:t xml:space="preserve"> would assess whether there is only one provider capable to deliver the service or whether after a detailed review of local healthcare provision it is concluded there is a particular provider which is clearly superior in delivering the particular service and where the benefits of competitive tendering are outweighed by the cost of publishing the notice or running a competitive tender exercise.</w:t>
      </w:r>
    </w:p>
    <w:p w:rsidR="00E975C6" w:rsidRPr="000D0745" w:rsidRDefault="00E975C6" w:rsidP="00C4534A">
      <w:pPr>
        <w:autoSpaceDE w:val="0"/>
        <w:autoSpaceDN w:val="0"/>
        <w:adjustRightInd w:val="0"/>
        <w:ind w:left="567"/>
        <w:rPr>
          <w:sz w:val="24"/>
          <w:szCs w:val="24"/>
          <w:lang w:val="en-GB" w:eastAsia="en-GB"/>
        </w:rPr>
      </w:pPr>
    </w:p>
    <w:p w:rsidR="00C84EDE" w:rsidRDefault="00E975C6" w:rsidP="00C4534A">
      <w:pPr>
        <w:autoSpaceDE w:val="0"/>
        <w:autoSpaceDN w:val="0"/>
        <w:adjustRightInd w:val="0"/>
        <w:ind w:left="567"/>
        <w:rPr>
          <w:sz w:val="24"/>
          <w:szCs w:val="24"/>
          <w:lang w:val="en-GB" w:eastAsia="en-GB"/>
        </w:rPr>
      </w:pPr>
      <w:r w:rsidRPr="000D0745">
        <w:rPr>
          <w:sz w:val="24"/>
          <w:szCs w:val="24"/>
          <w:lang w:val="en-GB" w:eastAsia="en-GB"/>
        </w:rPr>
        <w:t>There are certain benefits in selecting a particular provider and this could be due to location of provision, availability of particular infrastructure or where there is an immediate clinical need for which the selection of a particular provider is necessary on clinical safety grounds.</w:t>
      </w:r>
    </w:p>
    <w:p w:rsidR="00B41F76" w:rsidRDefault="00B41F76" w:rsidP="00C4534A">
      <w:pPr>
        <w:autoSpaceDE w:val="0"/>
        <w:autoSpaceDN w:val="0"/>
        <w:adjustRightInd w:val="0"/>
        <w:ind w:left="567"/>
        <w:rPr>
          <w:sz w:val="24"/>
          <w:szCs w:val="24"/>
          <w:lang w:val="en-GB" w:eastAsia="en-GB"/>
        </w:rPr>
      </w:pPr>
    </w:p>
    <w:p w:rsidR="00B41F76" w:rsidRPr="001E0D40" w:rsidRDefault="00B41F76" w:rsidP="00B41F76">
      <w:pPr>
        <w:pStyle w:val="ListParagraph"/>
        <w:numPr>
          <w:ilvl w:val="2"/>
          <w:numId w:val="16"/>
        </w:numPr>
        <w:rPr>
          <w:b/>
          <w:sz w:val="24"/>
          <w:szCs w:val="24"/>
          <w:lang w:val="en-GB"/>
        </w:rPr>
      </w:pPr>
      <w:r w:rsidRPr="001E0D40">
        <w:rPr>
          <w:b/>
          <w:sz w:val="24"/>
          <w:szCs w:val="24"/>
          <w:lang w:val="en-GB"/>
        </w:rPr>
        <w:t>The Impact of Brexit on the Marketplace</w:t>
      </w:r>
    </w:p>
    <w:p w:rsidR="00B41F76" w:rsidRDefault="00B41F76" w:rsidP="00B41F76">
      <w:pPr>
        <w:pStyle w:val="ListParagraph"/>
        <w:rPr>
          <w:sz w:val="24"/>
          <w:szCs w:val="24"/>
          <w:lang w:val="en-GB"/>
        </w:rPr>
      </w:pPr>
    </w:p>
    <w:p w:rsidR="00B41F76" w:rsidRDefault="00B41F76" w:rsidP="00B41F76">
      <w:pPr>
        <w:pStyle w:val="ListParagraph"/>
        <w:rPr>
          <w:sz w:val="24"/>
          <w:szCs w:val="24"/>
          <w:lang w:val="en"/>
        </w:rPr>
      </w:pPr>
      <w:r w:rsidRPr="00B41F76">
        <w:rPr>
          <w:sz w:val="24"/>
          <w:szCs w:val="24"/>
          <w:lang w:val="en"/>
        </w:rPr>
        <w:t xml:space="preserve">If the UK leaves the EU with a deal, the public procurement regulations will remain unchanged during any implementation period. Notices for UK contract opportunities will still be accessed on the Official Journal of the European Union (OJEU) Tenders Electronic Daily (TED). </w:t>
      </w:r>
    </w:p>
    <w:p w:rsidR="00B41F76" w:rsidRDefault="00B41F76" w:rsidP="00B41F76">
      <w:pPr>
        <w:pStyle w:val="ListParagraph"/>
        <w:rPr>
          <w:b/>
          <w:bCs/>
          <w:sz w:val="24"/>
          <w:szCs w:val="24"/>
          <w:lang w:val="en"/>
        </w:rPr>
      </w:pPr>
    </w:p>
    <w:p w:rsidR="00B41F76" w:rsidRPr="00B41F76" w:rsidRDefault="00B41F76" w:rsidP="00B41F76">
      <w:pPr>
        <w:pStyle w:val="ListParagraph"/>
        <w:rPr>
          <w:sz w:val="24"/>
          <w:szCs w:val="24"/>
          <w:lang w:val="en"/>
        </w:rPr>
      </w:pPr>
      <w:r w:rsidRPr="00B41F76">
        <w:rPr>
          <w:sz w:val="24"/>
          <w:szCs w:val="24"/>
          <w:lang w:val="en"/>
        </w:rPr>
        <w:t xml:space="preserve">However, if the UK leaves the EU with no deal, the way </w:t>
      </w:r>
      <w:proofErr w:type="gramStart"/>
      <w:r>
        <w:rPr>
          <w:sz w:val="24"/>
          <w:szCs w:val="24"/>
          <w:lang w:val="en"/>
        </w:rPr>
        <w:t>bidders</w:t>
      </w:r>
      <w:proofErr w:type="gramEnd"/>
      <w:r w:rsidRPr="00B41F76">
        <w:rPr>
          <w:sz w:val="24"/>
          <w:szCs w:val="24"/>
          <w:lang w:val="en"/>
        </w:rPr>
        <w:t xml:space="preserve"> access and respond to the UK public sector notices will change. A new UK specific e-Notification Service will replace OJEU TED and will be ready when the UK leaves the EU.</w:t>
      </w:r>
    </w:p>
    <w:p w:rsidR="00B41F76" w:rsidRPr="000D0745" w:rsidRDefault="00B41F76" w:rsidP="00C4534A">
      <w:pPr>
        <w:autoSpaceDE w:val="0"/>
        <w:autoSpaceDN w:val="0"/>
        <w:adjustRightInd w:val="0"/>
        <w:ind w:left="567"/>
        <w:rPr>
          <w:sz w:val="24"/>
          <w:szCs w:val="24"/>
          <w:lang w:val="en-GB" w:eastAsia="en-GB"/>
        </w:rPr>
      </w:pPr>
    </w:p>
    <w:p w:rsidR="006E0168" w:rsidRPr="000D0745" w:rsidRDefault="006E0168" w:rsidP="00C4534A">
      <w:pPr>
        <w:pStyle w:val="Heading2"/>
        <w:numPr>
          <w:ilvl w:val="0"/>
          <w:numId w:val="0"/>
        </w:numPr>
        <w:jc w:val="left"/>
        <w:rPr>
          <w:rFonts w:eastAsia="Times New Roman"/>
          <w:b w:val="0"/>
          <w:bCs w:val="0"/>
          <w:kern w:val="0"/>
          <w:sz w:val="24"/>
          <w:szCs w:val="24"/>
          <w:lang w:val="en-GB"/>
        </w:rPr>
      </w:pPr>
      <w:bookmarkStart w:id="35" w:name="_Toc363823749"/>
    </w:p>
    <w:p w:rsidR="00800C65" w:rsidRPr="000D0745" w:rsidRDefault="00800C65" w:rsidP="00C4534A">
      <w:pPr>
        <w:pStyle w:val="Heading2"/>
        <w:numPr>
          <w:ilvl w:val="2"/>
          <w:numId w:val="16"/>
        </w:numPr>
        <w:ind w:left="1276" w:hanging="709"/>
        <w:jc w:val="left"/>
        <w:rPr>
          <w:sz w:val="24"/>
          <w:szCs w:val="24"/>
          <w:lang w:val="en-GB"/>
        </w:rPr>
      </w:pPr>
      <w:bookmarkStart w:id="36" w:name="_Toc454455984"/>
      <w:r w:rsidRPr="000D0745">
        <w:rPr>
          <w:sz w:val="24"/>
          <w:szCs w:val="24"/>
          <w:lang w:val="en-GB"/>
        </w:rPr>
        <w:t>Public Services (Social Value) Act 2012 (UK)</w:t>
      </w:r>
      <w:bookmarkEnd w:id="35"/>
      <w:bookmarkEnd w:id="36"/>
    </w:p>
    <w:p w:rsidR="00800C65" w:rsidRPr="000D0745" w:rsidRDefault="00800C65" w:rsidP="00C4534A">
      <w:pPr>
        <w:rPr>
          <w:sz w:val="24"/>
          <w:szCs w:val="24"/>
          <w:lang w:val="en-GB" w:eastAsia="en-GB"/>
        </w:rPr>
      </w:pPr>
    </w:p>
    <w:p w:rsidR="00800C65" w:rsidRDefault="00800C65" w:rsidP="00C4534A">
      <w:pPr>
        <w:ind w:left="567"/>
        <w:rPr>
          <w:sz w:val="24"/>
          <w:szCs w:val="24"/>
          <w:lang w:val="en-GB"/>
        </w:rPr>
      </w:pPr>
      <w:r w:rsidRPr="000D0745">
        <w:rPr>
          <w:sz w:val="24"/>
          <w:szCs w:val="24"/>
          <w:lang w:val="en-GB"/>
        </w:rPr>
        <w:t xml:space="preserve">Commissioners must consider their responsibilities under the Public Services </w:t>
      </w:r>
      <w:r w:rsidR="00C84EDE" w:rsidRPr="000D0745">
        <w:rPr>
          <w:sz w:val="24"/>
          <w:szCs w:val="24"/>
          <w:lang w:val="en-GB"/>
        </w:rPr>
        <w:t xml:space="preserve">(Social Values) </w:t>
      </w:r>
      <w:r w:rsidRPr="000D0745">
        <w:rPr>
          <w:sz w:val="24"/>
          <w:szCs w:val="24"/>
          <w:lang w:val="en-GB"/>
        </w:rPr>
        <w:t xml:space="preserve">Act </w:t>
      </w:r>
      <w:r w:rsidR="00C84EDE" w:rsidRPr="000D0745">
        <w:rPr>
          <w:sz w:val="24"/>
          <w:szCs w:val="24"/>
          <w:lang w:val="en-GB"/>
        </w:rPr>
        <w:t>(</w:t>
      </w:r>
      <w:r w:rsidRPr="000D0745">
        <w:rPr>
          <w:sz w:val="24"/>
          <w:szCs w:val="24"/>
          <w:lang w:val="en-GB"/>
        </w:rPr>
        <w:t>2012</w:t>
      </w:r>
      <w:r w:rsidR="00C84EDE" w:rsidRPr="000D0745">
        <w:rPr>
          <w:sz w:val="24"/>
          <w:szCs w:val="24"/>
          <w:lang w:val="en-GB"/>
        </w:rPr>
        <w:t>)</w:t>
      </w:r>
      <w:r w:rsidR="00EE0949" w:rsidRPr="005E6D6E">
        <w:rPr>
          <w:rStyle w:val="FootnoteReference"/>
          <w:sz w:val="20"/>
          <w:lang w:val="en-GB"/>
        </w:rPr>
        <w:footnoteReference w:id="8"/>
      </w:r>
      <w:r w:rsidRPr="000D0745">
        <w:rPr>
          <w:sz w:val="24"/>
          <w:szCs w:val="24"/>
          <w:lang w:val="en-GB"/>
        </w:rPr>
        <w:t xml:space="preserve"> for all healthcare (clinical) procurements conducted.  Consideration should be proportional and equitable whilst ensuring that the economic, social and environmental needs of the local community are met.</w:t>
      </w:r>
    </w:p>
    <w:p w:rsidR="00C247D1" w:rsidRDefault="00C247D1" w:rsidP="00C4534A">
      <w:pPr>
        <w:ind w:left="567"/>
        <w:rPr>
          <w:sz w:val="24"/>
          <w:szCs w:val="24"/>
          <w:lang w:val="en-GB"/>
        </w:rPr>
      </w:pPr>
    </w:p>
    <w:p w:rsidR="00C247D1" w:rsidRPr="000D0745" w:rsidRDefault="00C247D1" w:rsidP="00C4534A">
      <w:pPr>
        <w:ind w:left="567"/>
        <w:rPr>
          <w:sz w:val="24"/>
          <w:szCs w:val="24"/>
          <w:lang w:val="en-GB"/>
        </w:rPr>
      </w:pPr>
      <w:r>
        <w:rPr>
          <w:sz w:val="24"/>
          <w:szCs w:val="24"/>
          <w:lang w:val="en-GB"/>
        </w:rPr>
        <w:t xml:space="preserve">There is specific provision in UK and EU legislation to enable commissioners to </w:t>
      </w:r>
      <w:r w:rsidR="003B4268">
        <w:rPr>
          <w:sz w:val="24"/>
          <w:szCs w:val="24"/>
          <w:lang w:val="en-GB"/>
        </w:rPr>
        <w:t>include evaluation criteria which supports e</w:t>
      </w:r>
      <w:r w:rsidR="003B4268" w:rsidRPr="003B4268">
        <w:rPr>
          <w:sz w:val="24"/>
          <w:szCs w:val="24"/>
          <w:lang w:val="en-GB"/>
        </w:rPr>
        <w:t>conomic, social and</w:t>
      </w:r>
      <w:r w:rsidR="00185AF5">
        <w:rPr>
          <w:sz w:val="24"/>
          <w:szCs w:val="24"/>
          <w:lang w:val="en-GB"/>
        </w:rPr>
        <w:t xml:space="preserve"> </w:t>
      </w:r>
      <w:r w:rsidR="003B4268" w:rsidRPr="003B4268">
        <w:rPr>
          <w:sz w:val="24"/>
          <w:szCs w:val="24"/>
          <w:lang w:val="en-GB"/>
        </w:rPr>
        <w:t>environmental well-being</w:t>
      </w:r>
      <w:r w:rsidR="003B4268">
        <w:rPr>
          <w:sz w:val="24"/>
          <w:szCs w:val="24"/>
          <w:lang w:val="en-GB"/>
        </w:rPr>
        <w:t xml:space="preserve"> within an area. Criteria could include financial investment, employment opportunities, carbon reduction and wider supply chain impacts amongst others.</w:t>
      </w:r>
    </w:p>
    <w:p w:rsidR="000F5753" w:rsidRPr="000D0745" w:rsidRDefault="000F5753" w:rsidP="00C4534A">
      <w:pPr>
        <w:ind w:left="567"/>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37" w:name="_Toc363823750"/>
      <w:bookmarkStart w:id="38" w:name="_Toc454455985"/>
      <w:r w:rsidRPr="000D0745">
        <w:rPr>
          <w:sz w:val="24"/>
          <w:szCs w:val="24"/>
          <w:lang w:val="en-GB"/>
        </w:rPr>
        <w:t>Equality Act 2010 (UK)</w:t>
      </w:r>
      <w:bookmarkEnd w:id="37"/>
      <w:bookmarkEnd w:id="38"/>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Commissioners must consider their responsibilities under the Equality Act 201</w:t>
      </w:r>
      <w:r w:rsidR="00730634">
        <w:rPr>
          <w:sz w:val="24"/>
          <w:szCs w:val="24"/>
          <w:lang w:val="en-GB"/>
        </w:rPr>
        <w:t>0</w:t>
      </w:r>
      <w:r w:rsidR="00EE0949" w:rsidRPr="005E6D6E">
        <w:rPr>
          <w:rStyle w:val="FootnoteReference"/>
          <w:sz w:val="20"/>
          <w:lang w:val="en-GB"/>
        </w:rPr>
        <w:footnoteReference w:id="9"/>
      </w:r>
      <w:r w:rsidRPr="005E6D6E">
        <w:rPr>
          <w:sz w:val="20"/>
          <w:lang w:val="en-GB"/>
        </w:rPr>
        <w:t xml:space="preserve"> </w:t>
      </w:r>
      <w:r w:rsidRPr="000D0745">
        <w:rPr>
          <w:sz w:val="24"/>
          <w:szCs w:val="24"/>
          <w:lang w:val="en-GB"/>
        </w:rPr>
        <w:t>for all healthcare (clinical) procurements conducted.  Potential Providers must not be discriminated against, in compliance with the requirements of the act, during the term of contract or the procurement process itself.</w:t>
      </w:r>
    </w:p>
    <w:p w:rsidR="00282E0B" w:rsidRPr="000D0745" w:rsidRDefault="00282E0B" w:rsidP="00C4534A">
      <w:pPr>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39" w:name="_Toc363823751"/>
      <w:bookmarkStart w:id="40" w:name="_Toc454455986"/>
      <w:r w:rsidRPr="000D0745">
        <w:rPr>
          <w:sz w:val="24"/>
          <w:szCs w:val="24"/>
          <w:lang w:val="en-GB"/>
        </w:rPr>
        <w:t>Freedom of Information 2000 (UK)</w:t>
      </w:r>
      <w:bookmarkEnd w:id="39"/>
      <w:bookmarkEnd w:id="40"/>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Commissioners must consider their responsibilities under the Freedom of Information Act 200</w:t>
      </w:r>
      <w:r w:rsidR="00F079FB">
        <w:rPr>
          <w:sz w:val="24"/>
          <w:szCs w:val="24"/>
          <w:lang w:val="en-GB"/>
        </w:rPr>
        <w:t>0</w:t>
      </w:r>
      <w:r w:rsidRPr="000D0745">
        <w:rPr>
          <w:sz w:val="24"/>
          <w:szCs w:val="24"/>
          <w:lang w:val="en-GB"/>
        </w:rPr>
        <w:t xml:space="preserve"> (FOI)</w:t>
      </w:r>
      <w:r w:rsidR="00EE0949" w:rsidRPr="005E6D6E">
        <w:rPr>
          <w:rStyle w:val="FootnoteReference"/>
          <w:sz w:val="20"/>
          <w:lang w:val="en-GB"/>
        </w:rPr>
        <w:footnoteReference w:id="10"/>
      </w:r>
      <w:r w:rsidRPr="000D0745">
        <w:rPr>
          <w:sz w:val="24"/>
          <w:szCs w:val="24"/>
          <w:lang w:val="en-GB"/>
        </w:rPr>
        <w:t xml:space="preserve"> for all healthcare (clinical) procurements conducted.  Care must be taken to ensure the rights of individuals and the rights of all organisations associated with the procurement process are protected during all correspondence and associated actions.  Potential bidders must be made aware of the commissioner’s responsibilities as a public sector organisation under the act during the preliminary stages of any procurement process.</w:t>
      </w:r>
    </w:p>
    <w:p w:rsidR="00800C65" w:rsidRPr="000D0745" w:rsidRDefault="00800C65" w:rsidP="00C4534A">
      <w:pPr>
        <w:rPr>
          <w:sz w:val="24"/>
          <w:szCs w:val="24"/>
          <w:lang w:val="en-GB"/>
        </w:rPr>
      </w:pPr>
    </w:p>
    <w:p w:rsidR="00E975C6" w:rsidRPr="005E6D6E" w:rsidRDefault="003E2EE2" w:rsidP="00C4534A">
      <w:pPr>
        <w:pStyle w:val="Heading1"/>
        <w:numPr>
          <w:ilvl w:val="1"/>
          <w:numId w:val="16"/>
        </w:numPr>
        <w:ind w:left="567" w:hanging="567"/>
        <w:rPr>
          <w:rFonts w:eastAsia="Arial"/>
          <w:sz w:val="24"/>
          <w:szCs w:val="24"/>
        </w:rPr>
      </w:pPr>
      <w:bookmarkStart w:id="41" w:name="_Toc454455987"/>
      <w:r>
        <w:rPr>
          <w:rFonts w:eastAsia="Arial"/>
          <w:sz w:val="24"/>
          <w:szCs w:val="24"/>
        </w:rPr>
        <w:t>The</w:t>
      </w:r>
      <w:r w:rsidRPr="005E6D6E">
        <w:rPr>
          <w:rFonts w:eastAsia="Arial"/>
          <w:sz w:val="24"/>
          <w:szCs w:val="24"/>
        </w:rPr>
        <w:t xml:space="preserve"> </w:t>
      </w:r>
      <w:r w:rsidR="00703B68" w:rsidRPr="005E6D6E">
        <w:rPr>
          <w:rFonts w:eastAsia="Arial"/>
          <w:sz w:val="24"/>
          <w:szCs w:val="24"/>
        </w:rPr>
        <w:t>Role</w:t>
      </w:r>
      <w:bookmarkEnd w:id="41"/>
      <w:r>
        <w:rPr>
          <w:rFonts w:eastAsia="Arial"/>
          <w:sz w:val="24"/>
          <w:szCs w:val="24"/>
        </w:rPr>
        <w:t xml:space="preserve"> of NHS Improvement</w:t>
      </w:r>
    </w:p>
    <w:p w:rsidR="00E975C6" w:rsidRPr="007B7BAC" w:rsidRDefault="00E975C6" w:rsidP="00C4534A">
      <w:pPr>
        <w:rPr>
          <w:sz w:val="28"/>
          <w:szCs w:val="28"/>
          <w:lang w:val="en-GB"/>
        </w:rPr>
      </w:pPr>
    </w:p>
    <w:p w:rsidR="00E975C6" w:rsidRPr="000D0745" w:rsidRDefault="00E92DD4" w:rsidP="00C4534A">
      <w:pPr>
        <w:ind w:left="567"/>
        <w:rPr>
          <w:sz w:val="24"/>
          <w:szCs w:val="24"/>
          <w:lang w:val="en-GB"/>
        </w:rPr>
      </w:pPr>
      <w:r w:rsidRPr="000D0745">
        <w:rPr>
          <w:sz w:val="24"/>
          <w:szCs w:val="24"/>
          <w:lang w:val="en-GB"/>
        </w:rPr>
        <w:t xml:space="preserve">Under the </w:t>
      </w:r>
      <w:r w:rsidR="000051EE">
        <w:rPr>
          <w:sz w:val="24"/>
          <w:szCs w:val="24"/>
          <w:lang w:val="en-GB" w:eastAsia="en-GB"/>
        </w:rPr>
        <w:t xml:space="preserve">Health and Social Care </w:t>
      </w:r>
      <w:r w:rsidR="000051EE" w:rsidRPr="000D0745">
        <w:rPr>
          <w:sz w:val="24"/>
          <w:szCs w:val="24"/>
          <w:lang w:val="en-GB" w:eastAsia="en-GB"/>
        </w:rPr>
        <w:t xml:space="preserve">Act </w:t>
      </w:r>
      <w:r w:rsidR="000051EE">
        <w:rPr>
          <w:sz w:val="24"/>
          <w:szCs w:val="24"/>
          <w:lang w:val="en-GB" w:eastAsia="en-GB"/>
        </w:rPr>
        <w:t>2012</w:t>
      </w:r>
      <w:r w:rsidR="00B83B61">
        <w:rPr>
          <w:sz w:val="24"/>
          <w:szCs w:val="24"/>
          <w:lang w:val="en-GB" w:eastAsia="en-GB"/>
        </w:rPr>
        <w:t xml:space="preserve">, </w:t>
      </w:r>
      <w:r w:rsidR="00B83B61" w:rsidRPr="000D0745">
        <w:rPr>
          <w:sz w:val="24"/>
          <w:szCs w:val="24"/>
          <w:lang w:val="en-GB"/>
        </w:rPr>
        <w:t>Monitor</w:t>
      </w:r>
      <w:r w:rsidR="003E2EE2">
        <w:rPr>
          <w:sz w:val="24"/>
          <w:szCs w:val="24"/>
          <w:lang w:val="en-GB"/>
        </w:rPr>
        <w:t xml:space="preserve"> was appointed </w:t>
      </w:r>
      <w:r w:rsidR="00EF6EF8">
        <w:rPr>
          <w:sz w:val="24"/>
          <w:szCs w:val="24"/>
          <w:lang w:val="en-GB"/>
        </w:rPr>
        <w:t>as the sector</w:t>
      </w:r>
      <w:r w:rsidR="000051EE">
        <w:rPr>
          <w:sz w:val="24"/>
          <w:szCs w:val="24"/>
          <w:lang w:val="en-GB"/>
        </w:rPr>
        <w:t>’s</w:t>
      </w:r>
      <w:r w:rsidR="00EF6EF8">
        <w:rPr>
          <w:sz w:val="24"/>
          <w:szCs w:val="24"/>
          <w:lang w:val="en-GB"/>
        </w:rPr>
        <w:t xml:space="preserve"> regulator,</w:t>
      </w:r>
      <w:r w:rsidRPr="000D0745">
        <w:rPr>
          <w:sz w:val="24"/>
          <w:szCs w:val="24"/>
          <w:lang w:val="en-GB"/>
        </w:rPr>
        <w:t xml:space="preserve"> </w:t>
      </w:r>
      <w:r w:rsidR="003E2EE2">
        <w:rPr>
          <w:sz w:val="24"/>
          <w:szCs w:val="24"/>
          <w:lang w:val="en-GB"/>
        </w:rPr>
        <w:t xml:space="preserve">tasked to </w:t>
      </w:r>
      <w:r w:rsidR="00EF6EF8">
        <w:rPr>
          <w:sz w:val="24"/>
          <w:szCs w:val="24"/>
          <w:lang w:val="en-GB"/>
        </w:rPr>
        <w:t>ensure that</w:t>
      </w:r>
      <w:r w:rsidRPr="000D0745">
        <w:rPr>
          <w:sz w:val="24"/>
          <w:szCs w:val="24"/>
          <w:lang w:val="en-GB"/>
        </w:rPr>
        <w:t xml:space="preserve"> </w:t>
      </w:r>
      <w:r w:rsidR="003E2EE2">
        <w:rPr>
          <w:sz w:val="24"/>
          <w:szCs w:val="24"/>
          <w:lang w:val="en-GB"/>
        </w:rPr>
        <w:t xml:space="preserve">the </w:t>
      </w:r>
      <w:r w:rsidRPr="000D0745">
        <w:rPr>
          <w:sz w:val="24"/>
          <w:szCs w:val="24"/>
          <w:lang w:val="en-GB"/>
        </w:rPr>
        <w:t xml:space="preserve">relevant procurement guidelines are adhered to across the </w:t>
      </w:r>
      <w:r w:rsidR="00EF6EF8">
        <w:rPr>
          <w:sz w:val="24"/>
          <w:szCs w:val="24"/>
          <w:lang w:val="en-GB"/>
        </w:rPr>
        <w:t>h</w:t>
      </w:r>
      <w:r w:rsidRPr="000D0745">
        <w:rPr>
          <w:sz w:val="24"/>
          <w:szCs w:val="24"/>
          <w:lang w:val="en-GB"/>
        </w:rPr>
        <w:t xml:space="preserve">ealth economy. </w:t>
      </w:r>
      <w:r w:rsidR="003E2EE2">
        <w:rPr>
          <w:sz w:val="24"/>
          <w:szCs w:val="24"/>
          <w:lang w:val="en-GB"/>
        </w:rPr>
        <w:t>On 1</w:t>
      </w:r>
      <w:r w:rsidR="003E2EE2" w:rsidRPr="00EF2A68">
        <w:rPr>
          <w:sz w:val="24"/>
          <w:szCs w:val="24"/>
          <w:vertAlign w:val="superscript"/>
          <w:lang w:val="en-GB"/>
        </w:rPr>
        <w:t>st</w:t>
      </w:r>
      <w:r w:rsidR="003E2EE2">
        <w:rPr>
          <w:sz w:val="24"/>
          <w:szCs w:val="24"/>
          <w:lang w:val="en-GB"/>
        </w:rPr>
        <w:t xml:space="preserve"> April 2016 the responsibilities of Monitor were subsumed into NHS Improvement (NHSI). </w:t>
      </w:r>
      <w:r w:rsidR="00E975C6" w:rsidRPr="000D0745">
        <w:rPr>
          <w:sz w:val="24"/>
          <w:szCs w:val="24"/>
          <w:lang w:val="en-GB"/>
        </w:rPr>
        <w:t>A provider who raises a challenge or dispute in relation to a tender process should be initially managed through a local D</w:t>
      </w:r>
      <w:r w:rsidRPr="000D0745">
        <w:rPr>
          <w:sz w:val="24"/>
          <w:szCs w:val="24"/>
          <w:lang w:val="en-GB"/>
        </w:rPr>
        <w:t xml:space="preserve">ispute </w:t>
      </w:r>
      <w:r w:rsidR="00E975C6" w:rsidRPr="000D0745">
        <w:rPr>
          <w:sz w:val="24"/>
          <w:szCs w:val="24"/>
          <w:lang w:val="en-GB"/>
        </w:rPr>
        <w:t>A</w:t>
      </w:r>
      <w:r w:rsidRPr="000D0745">
        <w:rPr>
          <w:sz w:val="24"/>
          <w:szCs w:val="24"/>
          <w:lang w:val="en-GB"/>
        </w:rPr>
        <w:t>voidance and Reconciliation</w:t>
      </w:r>
      <w:r w:rsidR="00E975C6" w:rsidRPr="000D0745">
        <w:rPr>
          <w:sz w:val="24"/>
          <w:szCs w:val="24"/>
          <w:lang w:val="en-GB"/>
        </w:rPr>
        <w:t xml:space="preserve"> process</w:t>
      </w:r>
      <w:r w:rsidRPr="000D0745">
        <w:rPr>
          <w:sz w:val="24"/>
          <w:szCs w:val="24"/>
          <w:lang w:val="en-GB"/>
        </w:rPr>
        <w:t xml:space="preserve"> (DARP)</w:t>
      </w:r>
      <w:r w:rsidR="00E975C6" w:rsidRPr="000D0745">
        <w:rPr>
          <w:sz w:val="24"/>
          <w:szCs w:val="24"/>
          <w:lang w:val="en-GB"/>
        </w:rPr>
        <w:t xml:space="preserve">. Where the bidder is not satisfied by local DARP outcome bidders should be referred to </w:t>
      </w:r>
      <w:r w:rsidR="003E2EE2">
        <w:rPr>
          <w:sz w:val="24"/>
          <w:szCs w:val="24"/>
          <w:lang w:val="en-GB"/>
        </w:rPr>
        <w:t>NHSI</w:t>
      </w:r>
      <w:r w:rsidR="00E975C6" w:rsidRPr="000D0745">
        <w:rPr>
          <w:sz w:val="24"/>
          <w:szCs w:val="24"/>
          <w:lang w:val="en-GB"/>
        </w:rPr>
        <w:t xml:space="preserve"> who </w:t>
      </w:r>
      <w:r w:rsidR="00EF6EF8">
        <w:rPr>
          <w:sz w:val="24"/>
          <w:szCs w:val="24"/>
          <w:lang w:val="en-GB"/>
        </w:rPr>
        <w:t xml:space="preserve">will </w:t>
      </w:r>
      <w:r w:rsidR="00E975C6" w:rsidRPr="000D0745">
        <w:rPr>
          <w:sz w:val="24"/>
          <w:szCs w:val="24"/>
          <w:lang w:val="en-GB"/>
        </w:rPr>
        <w:t xml:space="preserve">investigate procurement disputes to </w:t>
      </w:r>
      <w:r w:rsidR="000051EE">
        <w:rPr>
          <w:sz w:val="24"/>
          <w:szCs w:val="24"/>
          <w:lang w:val="en-GB"/>
        </w:rPr>
        <w:t>establish</w:t>
      </w:r>
      <w:r w:rsidR="00E975C6" w:rsidRPr="000D0745">
        <w:rPr>
          <w:sz w:val="24"/>
          <w:szCs w:val="24"/>
          <w:lang w:val="en-GB"/>
        </w:rPr>
        <w:t xml:space="preserve"> if there is a case to answer.  </w:t>
      </w:r>
    </w:p>
    <w:p w:rsidR="00E975C6" w:rsidRPr="000D0745" w:rsidRDefault="00E975C6" w:rsidP="00C4534A">
      <w:pPr>
        <w:rPr>
          <w:sz w:val="24"/>
          <w:szCs w:val="24"/>
          <w:lang w:val="en-GB"/>
        </w:rPr>
      </w:pPr>
    </w:p>
    <w:p w:rsidR="00E975C6" w:rsidRPr="000D0745" w:rsidRDefault="003E2EE2" w:rsidP="00C4534A">
      <w:pPr>
        <w:ind w:left="567"/>
        <w:rPr>
          <w:sz w:val="24"/>
          <w:szCs w:val="24"/>
          <w:lang w:val="en-GB"/>
        </w:rPr>
      </w:pPr>
      <w:r>
        <w:rPr>
          <w:sz w:val="24"/>
          <w:szCs w:val="24"/>
          <w:lang w:val="en-GB"/>
        </w:rPr>
        <w:t>NHSI</w:t>
      </w:r>
      <w:r w:rsidR="00EF6EF8">
        <w:rPr>
          <w:sz w:val="24"/>
          <w:szCs w:val="24"/>
          <w:lang w:val="en-GB"/>
        </w:rPr>
        <w:t>’s</w:t>
      </w:r>
      <w:r w:rsidR="00E975C6" w:rsidRPr="000D0745">
        <w:rPr>
          <w:sz w:val="24"/>
          <w:szCs w:val="24"/>
          <w:lang w:val="en-GB"/>
        </w:rPr>
        <w:t xml:space="preserve"> decision is binding in these instances, as described by the role of </w:t>
      </w:r>
      <w:r>
        <w:rPr>
          <w:sz w:val="24"/>
          <w:szCs w:val="24"/>
          <w:lang w:val="en-GB"/>
        </w:rPr>
        <w:t>NHSI</w:t>
      </w:r>
      <w:r w:rsidR="00E975C6" w:rsidRPr="000D0745">
        <w:rPr>
          <w:sz w:val="24"/>
          <w:szCs w:val="24"/>
          <w:lang w:val="en-GB"/>
        </w:rPr>
        <w:t xml:space="preserve"> as the independent regulator of competition within the NHS (section 62 of the Health and Social Care Act (2012)). </w:t>
      </w:r>
      <w:r>
        <w:rPr>
          <w:sz w:val="24"/>
          <w:szCs w:val="24"/>
          <w:lang w:val="en-GB"/>
        </w:rPr>
        <w:t>NHSI</w:t>
      </w:r>
      <w:r w:rsidR="00EF6EF8">
        <w:rPr>
          <w:sz w:val="24"/>
          <w:szCs w:val="24"/>
          <w:lang w:val="en-GB"/>
        </w:rPr>
        <w:t xml:space="preserve"> may request that the commissioning authority re-tenders an opportunity should any fault be found in the methodology used to select service providers.</w:t>
      </w:r>
    </w:p>
    <w:p w:rsidR="00E975C6" w:rsidRPr="000D0745" w:rsidRDefault="00E975C6" w:rsidP="00C4534A">
      <w:pPr>
        <w:ind w:left="567"/>
        <w:rPr>
          <w:sz w:val="24"/>
          <w:szCs w:val="24"/>
          <w:lang w:val="en-GB"/>
        </w:rPr>
      </w:pPr>
    </w:p>
    <w:p w:rsidR="00E975C6" w:rsidRPr="000D0745" w:rsidRDefault="001424BA" w:rsidP="00C4534A">
      <w:pPr>
        <w:ind w:left="567"/>
        <w:rPr>
          <w:sz w:val="24"/>
          <w:szCs w:val="24"/>
          <w:lang w:val="en-GB"/>
        </w:rPr>
      </w:pPr>
      <w:r>
        <w:rPr>
          <w:sz w:val="24"/>
          <w:szCs w:val="24"/>
          <w:lang w:val="en-GB"/>
        </w:rPr>
        <w:t>Under the Public Contracts Regulations (2015) for cases up to £250K a</w:t>
      </w:r>
      <w:r w:rsidRPr="000D0745">
        <w:rPr>
          <w:sz w:val="24"/>
          <w:szCs w:val="24"/>
          <w:lang w:val="en-GB"/>
        </w:rPr>
        <w:t xml:space="preserve"> </w:t>
      </w:r>
      <w:r w:rsidR="00E975C6" w:rsidRPr="000D0745">
        <w:rPr>
          <w:sz w:val="24"/>
          <w:szCs w:val="24"/>
          <w:lang w:val="en-GB"/>
        </w:rPr>
        <w:t xml:space="preserve">provider </w:t>
      </w:r>
      <w:r w:rsidR="00BB6388" w:rsidRPr="000D0745">
        <w:rPr>
          <w:sz w:val="24"/>
          <w:szCs w:val="24"/>
          <w:lang w:val="en-GB"/>
        </w:rPr>
        <w:t xml:space="preserve">also </w:t>
      </w:r>
      <w:r w:rsidR="00E975C6" w:rsidRPr="000D0745">
        <w:rPr>
          <w:sz w:val="24"/>
          <w:szCs w:val="24"/>
          <w:lang w:val="en-GB"/>
        </w:rPr>
        <w:t xml:space="preserve">has the right to approach the County Court directly without approaching the CCG or </w:t>
      </w:r>
      <w:r w:rsidR="003E2EE2">
        <w:rPr>
          <w:sz w:val="24"/>
          <w:szCs w:val="24"/>
          <w:lang w:val="en-GB"/>
        </w:rPr>
        <w:t>NHSI</w:t>
      </w:r>
      <w:r w:rsidR="00E975C6" w:rsidRPr="000D0745">
        <w:rPr>
          <w:sz w:val="24"/>
          <w:szCs w:val="24"/>
          <w:lang w:val="en-GB"/>
        </w:rPr>
        <w:t xml:space="preserve"> and in such instances the case </w:t>
      </w:r>
      <w:r w:rsidR="00EF6EF8">
        <w:rPr>
          <w:sz w:val="24"/>
          <w:szCs w:val="24"/>
          <w:lang w:val="en-GB"/>
        </w:rPr>
        <w:t>may</w:t>
      </w:r>
      <w:r w:rsidR="00EF6EF8" w:rsidRPr="000D0745">
        <w:rPr>
          <w:sz w:val="24"/>
          <w:szCs w:val="24"/>
          <w:lang w:val="en-GB"/>
        </w:rPr>
        <w:t xml:space="preserve"> </w:t>
      </w:r>
      <w:r w:rsidR="00E975C6" w:rsidRPr="000D0745">
        <w:rPr>
          <w:sz w:val="24"/>
          <w:szCs w:val="24"/>
          <w:lang w:val="en-GB"/>
        </w:rPr>
        <w:t xml:space="preserve">be heard </w:t>
      </w:r>
      <w:r w:rsidR="00E975C6" w:rsidRPr="000D0745">
        <w:rPr>
          <w:sz w:val="24"/>
          <w:szCs w:val="24"/>
          <w:lang w:val="en-GB"/>
        </w:rPr>
        <w:lastRenderedPageBreak/>
        <w:t>through the local judicial system.</w:t>
      </w:r>
      <w:r>
        <w:rPr>
          <w:sz w:val="24"/>
          <w:szCs w:val="24"/>
          <w:lang w:val="en-GB"/>
        </w:rPr>
        <w:t xml:space="preserve">  For more complex technical cases with a value above £250K the bidder has a right </w:t>
      </w:r>
      <w:r w:rsidR="0077292A">
        <w:rPr>
          <w:sz w:val="24"/>
          <w:szCs w:val="24"/>
          <w:lang w:val="en-GB"/>
        </w:rPr>
        <w:t xml:space="preserve">for their case to be heard in </w:t>
      </w:r>
      <w:r w:rsidR="0077292A">
        <w:rPr>
          <w:lang w:val="en"/>
        </w:rPr>
        <w:t>the Technology and Construction Court</w:t>
      </w:r>
      <w:r w:rsidR="0077292A" w:rsidRPr="00EF2A68">
        <w:rPr>
          <w:vertAlign w:val="superscript"/>
          <w:lang w:val="en"/>
        </w:rPr>
        <w:t>11</w:t>
      </w:r>
      <w:r w:rsidR="0077292A">
        <w:rPr>
          <w:lang w:val="en"/>
        </w:rPr>
        <w:t>.</w:t>
      </w:r>
    </w:p>
    <w:p w:rsidR="00B35893" w:rsidRPr="000D0745" w:rsidRDefault="00B35893" w:rsidP="00C4534A">
      <w:pPr>
        <w:rPr>
          <w:sz w:val="24"/>
          <w:szCs w:val="24"/>
          <w:lang w:val="en-GB"/>
        </w:rPr>
      </w:pPr>
    </w:p>
    <w:p w:rsidR="00E975C6" w:rsidRPr="000D0745" w:rsidRDefault="003E2EE2" w:rsidP="00C4534A">
      <w:pPr>
        <w:pStyle w:val="Heading2"/>
        <w:numPr>
          <w:ilvl w:val="2"/>
          <w:numId w:val="16"/>
        </w:numPr>
        <w:ind w:left="1276" w:hanging="709"/>
        <w:jc w:val="left"/>
        <w:rPr>
          <w:sz w:val="24"/>
          <w:szCs w:val="24"/>
          <w:lang w:val="en-GB"/>
        </w:rPr>
      </w:pPr>
      <w:bookmarkStart w:id="42" w:name="_Toc363823753"/>
      <w:bookmarkStart w:id="43" w:name="_Toc454455988"/>
      <w:r>
        <w:rPr>
          <w:sz w:val="24"/>
          <w:szCs w:val="24"/>
          <w:lang w:val="en-GB"/>
        </w:rPr>
        <w:t xml:space="preserve">NHS Improvement </w:t>
      </w:r>
      <w:r w:rsidR="00E975C6" w:rsidRPr="000D0745">
        <w:rPr>
          <w:sz w:val="24"/>
          <w:szCs w:val="24"/>
          <w:lang w:val="en-GB"/>
        </w:rPr>
        <w:t>Testing Criteria</w:t>
      </w:r>
      <w:bookmarkEnd w:id="42"/>
      <w:bookmarkEnd w:id="43"/>
    </w:p>
    <w:p w:rsidR="00E975C6" w:rsidRPr="000D0745" w:rsidRDefault="00E975C6" w:rsidP="00C4534A">
      <w:pPr>
        <w:rPr>
          <w:sz w:val="24"/>
          <w:szCs w:val="24"/>
          <w:lang w:val="en-GB"/>
        </w:rPr>
      </w:pPr>
    </w:p>
    <w:p w:rsidR="00E975C6" w:rsidRPr="000D0745" w:rsidRDefault="00E975C6" w:rsidP="00C4534A">
      <w:pPr>
        <w:ind w:left="567"/>
        <w:rPr>
          <w:sz w:val="24"/>
          <w:szCs w:val="24"/>
          <w:lang w:val="en-GB"/>
        </w:rPr>
      </w:pPr>
      <w:r w:rsidRPr="000D0745">
        <w:rPr>
          <w:sz w:val="24"/>
          <w:szCs w:val="24"/>
          <w:lang w:val="en-GB"/>
        </w:rPr>
        <w:t xml:space="preserve">The overarching purpose of the </w:t>
      </w:r>
      <w:r w:rsidR="003E2EE2">
        <w:rPr>
          <w:sz w:val="24"/>
          <w:szCs w:val="24"/>
          <w:lang w:val="en-GB"/>
        </w:rPr>
        <w:t>NHSI</w:t>
      </w:r>
      <w:r w:rsidR="003E2EE2" w:rsidRPr="000D0745">
        <w:rPr>
          <w:sz w:val="24"/>
          <w:szCs w:val="24"/>
          <w:lang w:val="en-GB"/>
        </w:rPr>
        <w:t xml:space="preserve"> </w:t>
      </w:r>
      <w:r w:rsidRPr="000D0745">
        <w:rPr>
          <w:sz w:val="24"/>
          <w:szCs w:val="24"/>
          <w:lang w:val="en-GB"/>
        </w:rPr>
        <w:t>testing criteria is to ensure that any healthcare procurement achieves the following</w:t>
      </w:r>
      <w:r w:rsidR="006B76D2">
        <w:rPr>
          <w:sz w:val="24"/>
          <w:szCs w:val="24"/>
          <w:lang w:val="en-GB"/>
        </w:rPr>
        <w:t>:</w:t>
      </w:r>
      <w:r w:rsidRPr="000D0745">
        <w:rPr>
          <w:sz w:val="24"/>
          <w:szCs w:val="24"/>
          <w:lang w:val="en-GB"/>
        </w:rPr>
        <w:t xml:space="preserve"> </w:t>
      </w:r>
    </w:p>
    <w:p w:rsidR="00E975C6" w:rsidRPr="000D0745" w:rsidRDefault="00E975C6" w:rsidP="00C4534A">
      <w:pPr>
        <w:rPr>
          <w:sz w:val="24"/>
          <w:szCs w:val="24"/>
          <w:lang w:val="en-GB"/>
        </w:rPr>
      </w:pPr>
    </w:p>
    <w:p w:rsidR="00E975C6" w:rsidRPr="00E850BD" w:rsidRDefault="00E975C6" w:rsidP="00C4534A">
      <w:pPr>
        <w:numPr>
          <w:ilvl w:val="0"/>
          <w:numId w:val="10"/>
        </w:numPr>
        <w:pBdr>
          <w:top w:val="single" w:sz="4" w:space="1" w:color="auto"/>
          <w:left w:val="single" w:sz="4" w:space="4" w:color="auto"/>
          <w:bottom w:val="single" w:sz="4" w:space="1" w:color="auto"/>
          <w:right w:val="single" w:sz="4" w:space="4" w:color="auto"/>
        </w:pBdr>
        <w:rPr>
          <w:bCs/>
          <w:sz w:val="24"/>
          <w:szCs w:val="24"/>
          <w:lang w:val="en-GB"/>
        </w:rPr>
      </w:pPr>
      <w:r w:rsidRPr="00E850BD">
        <w:rPr>
          <w:bCs/>
          <w:sz w:val="24"/>
          <w:szCs w:val="24"/>
          <w:lang w:val="en-GB"/>
        </w:rPr>
        <w:t xml:space="preserve">Securing the needs of health care service users; </w:t>
      </w:r>
    </w:p>
    <w:p w:rsidR="00E975C6" w:rsidRPr="00E850BD" w:rsidRDefault="00E975C6" w:rsidP="00C4534A">
      <w:pPr>
        <w:numPr>
          <w:ilvl w:val="0"/>
          <w:numId w:val="10"/>
        </w:numPr>
        <w:pBdr>
          <w:top w:val="single" w:sz="4" w:space="1" w:color="auto"/>
          <w:left w:val="single" w:sz="4" w:space="4" w:color="auto"/>
          <w:bottom w:val="single" w:sz="4" w:space="1" w:color="auto"/>
          <w:right w:val="single" w:sz="4" w:space="4" w:color="auto"/>
        </w:pBdr>
        <w:rPr>
          <w:bCs/>
          <w:sz w:val="24"/>
          <w:szCs w:val="24"/>
          <w:lang w:val="en-GB"/>
        </w:rPr>
      </w:pPr>
      <w:r w:rsidRPr="00E850BD">
        <w:rPr>
          <w:bCs/>
          <w:sz w:val="24"/>
          <w:szCs w:val="24"/>
          <w:lang w:val="en-GB"/>
        </w:rPr>
        <w:t xml:space="preserve">Improving the quality of services; and </w:t>
      </w:r>
    </w:p>
    <w:p w:rsidR="00E975C6" w:rsidRPr="00E05B8A" w:rsidRDefault="00E975C6" w:rsidP="00C4534A">
      <w:pPr>
        <w:numPr>
          <w:ilvl w:val="0"/>
          <w:numId w:val="10"/>
        </w:numPr>
        <w:pBdr>
          <w:top w:val="single" w:sz="4" w:space="1" w:color="auto"/>
          <w:left w:val="single" w:sz="4" w:space="4" w:color="auto"/>
          <w:bottom w:val="single" w:sz="4" w:space="1" w:color="auto"/>
          <w:right w:val="single" w:sz="4" w:space="4" w:color="auto"/>
        </w:pBdr>
        <w:rPr>
          <w:b/>
          <w:bCs/>
          <w:sz w:val="24"/>
          <w:szCs w:val="24"/>
          <w:lang w:val="en-GB"/>
        </w:rPr>
      </w:pPr>
      <w:r w:rsidRPr="00E850BD">
        <w:rPr>
          <w:bCs/>
          <w:sz w:val="24"/>
          <w:szCs w:val="24"/>
          <w:lang w:val="en-GB"/>
        </w:rPr>
        <w:t xml:space="preserve">Improving the efficiency with which services are provided. </w:t>
      </w:r>
    </w:p>
    <w:p w:rsidR="00E975C6" w:rsidRPr="000D0745" w:rsidRDefault="00E975C6" w:rsidP="00C4534A">
      <w:pPr>
        <w:rPr>
          <w:sz w:val="24"/>
          <w:szCs w:val="24"/>
          <w:lang w:val="en-GB"/>
        </w:rPr>
      </w:pPr>
    </w:p>
    <w:p w:rsidR="00E975C6" w:rsidRPr="000D0745" w:rsidRDefault="00E975C6" w:rsidP="00C4534A">
      <w:pPr>
        <w:ind w:left="567"/>
        <w:rPr>
          <w:sz w:val="24"/>
          <w:szCs w:val="24"/>
          <w:lang w:val="en-GB"/>
        </w:rPr>
      </w:pPr>
      <w:r w:rsidRPr="000D0745">
        <w:rPr>
          <w:sz w:val="24"/>
          <w:szCs w:val="24"/>
          <w:lang w:val="en-GB"/>
        </w:rPr>
        <w:t xml:space="preserve">The following not only applies to let contracts but also when selecting providers for frameworks or shortlisting as potential future providers. The criteria that </w:t>
      </w:r>
      <w:r w:rsidR="003E2EE2">
        <w:rPr>
          <w:sz w:val="24"/>
          <w:szCs w:val="24"/>
          <w:lang w:val="en-GB"/>
        </w:rPr>
        <w:t>NHSI</w:t>
      </w:r>
      <w:r w:rsidRPr="000D0745">
        <w:rPr>
          <w:sz w:val="24"/>
          <w:szCs w:val="24"/>
          <w:lang w:val="en-GB"/>
        </w:rPr>
        <w:t xml:space="preserve"> will evaluate in assessing whether the aforementioned objectives</w:t>
      </w:r>
      <w:r w:rsidR="006B76D2">
        <w:rPr>
          <w:sz w:val="24"/>
          <w:szCs w:val="24"/>
          <w:lang w:val="en-GB"/>
        </w:rPr>
        <w:t xml:space="preserve"> have been met are as follows:</w:t>
      </w:r>
    </w:p>
    <w:p w:rsidR="00E975C6" w:rsidRPr="000D0745" w:rsidRDefault="00E975C6" w:rsidP="00C4534A">
      <w:pPr>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Steps taken to establish the levels of public engagement in the local community to establish whether the services being procured meet local health need.</w:t>
      </w:r>
    </w:p>
    <w:p w:rsidR="00E975C6" w:rsidRPr="000D0745" w:rsidRDefault="00E975C6" w:rsidP="00C4534A">
      <w:pPr>
        <w:ind w:left="993" w:hanging="426"/>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 xml:space="preserve">Establish whether a holistic view of the needs of healthcare users has been undertaken when procuring particular services, including their needs for related services i.e. services that health care users/patients can access from the same provider on the same site. </w:t>
      </w:r>
    </w:p>
    <w:p w:rsidR="00E975C6" w:rsidRPr="000D0745" w:rsidRDefault="00E975C6" w:rsidP="00C4534A">
      <w:pPr>
        <w:ind w:left="993" w:hanging="426"/>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 xml:space="preserve">Whether the commissioner has considered the needs of all health care users for which it is responsible when procuring services, including: </w:t>
      </w:r>
    </w:p>
    <w:p w:rsidR="00E975C6" w:rsidRPr="000D0745" w:rsidRDefault="00E975C6" w:rsidP="00C4534A">
      <w:pPr>
        <w:ind w:left="993" w:hanging="426"/>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What steps the commissioner has taken to ensure equitable access to services, including by vulnerable and socially excluded members of the population;</w:t>
      </w:r>
    </w:p>
    <w:p w:rsidR="00E975C6" w:rsidRPr="000D0745" w:rsidRDefault="00E975C6" w:rsidP="00C4534A">
      <w:pPr>
        <w:ind w:left="993" w:hanging="426"/>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 xml:space="preserve">Whether the commissioner has had regard to the different needs of groups of patients, such as the need for some patients to receive a </w:t>
      </w:r>
      <w:r w:rsidR="00694F84">
        <w:rPr>
          <w:sz w:val="24"/>
          <w:szCs w:val="24"/>
          <w:lang w:val="en-GB"/>
        </w:rPr>
        <w:t>service in a particular setting;</w:t>
      </w:r>
    </w:p>
    <w:p w:rsidR="00E975C6" w:rsidRPr="000D0745" w:rsidRDefault="00E975C6" w:rsidP="00C4534A">
      <w:pPr>
        <w:ind w:left="1418" w:hanging="425"/>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Whether the commissioner has considered the sustainability of services, including the impact that a procurement decision relating to one set of services may have on the ability of providers to deliver other services</w:t>
      </w:r>
      <w:r w:rsidR="00694F84">
        <w:rPr>
          <w:sz w:val="24"/>
          <w:szCs w:val="24"/>
          <w:lang w:val="en-GB"/>
        </w:rPr>
        <w:t xml:space="preserve"> that health care users require; or</w:t>
      </w:r>
      <w:r w:rsidR="00E975C6" w:rsidRPr="000D0745">
        <w:rPr>
          <w:sz w:val="24"/>
          <w:szCs w:val="24"/>
          <w:lang w:val="en-GB"/>
        </w:rPr>
        <w:t xml:space="preserve"> </w:t>
      </w:r>
    </w:p>
    <w:p w:rsidR="00E975C6" w:rsidRPr="000D0745" w:rsidRDefault="00E975C6" w:rsidP="00C4534A">
      <w:pPr>
        <w:ind w:left="1418" w:hanging="425"/>
        <w:rPr>
          <w:sz w:val="24"/>
          <w:szCs w:val="24"/>
          <w:lang w:val="en-GB"/>
        </w:rPr>
      </w:pPr>
    </w:p>
    <w:p w:rsidR="00E975C6"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 xml:space="preserve">Whether the commissioner has monitored the quality and efficiency of existing service provision and identified any areas where improvements are needed in advance of procuring services. </w:t>
      </w:r>
    </w:p>
    <w:p w:rsidR="00C75610" w:rsidRDefault="00C75610" w:rsidP="00C75610">
      <w:pPr>
        <w:pStyle w:val="ListParagraph"/>
        <w:rPr>
          <w:sz w:val="24"/>
          <w:szCs w:val="24"/>
          <w:lang w:val="en-GB"/>
        </w:rPr>
      </w:pPr>
    </w:p>
    <w:p w:rsidR="00C75610" w:rsidRPr="0077292A" w:rsidRDefault="0077292A" w:rsidP="00C75610">
      <w:pPr>
        <w:rPr>
          <w:color w:val="00B0F0"/>
          <w:sz w:val="16"/>
          <w:szCs w:val="16"/>
          <w:lang w:val="en-GB"/>
        </w:rPr>
      </w:pPr>
      <w:r w:rsidRPr="0077292A">
        <w:rPr>
          <w:color w:val="00B0F0"/>
          <w:sz w:val="16"/>
          <w:szCs w:val="16"/>
          <w:vertAlign w:val="superscript"/>
          <w:lang w:val="en-GB"/>
        </w:rPr>
        <w:t>11</w:t>
      </w:r>
      <w:r w:rsidRPr="0077292A">
        <w:rPr>
          <w:color w:val="00B0F0"/>
          <w:sz w:val="16"/>
          <w:szCs w:val="16"/>
          <w:lang w:val="en-GB"/>
        </w:rPr>
        <w:t xml:space="preserve"> https://www.gov.uk/guidance/take-a-case-to-the-technology-and-construction-court</w:t>
      </w: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Default="00C75610" w:rsidP="00C75610">
      <w:pPr>
        <w:rPr>
          <w:sz w:val="24"/>
          <w:szCs w:val="24"/>
          <w:lang w:val="en-GB"/>
        </w:rPr>
      </w:pPr>
    </w:p>
    <w:p w:rsidR="00C75610" w:rsidRPr="000D0745" w:rsidRDefault="00C75610" w:rsidP="00C75610">
      <w:pPr>
        <w:rPr>
          <w:sz w:val="24"/>
          <w:szCs w:val="24"/>
          <w:lang w:val="en-GB"/>
        </w:rPr>
      </w:pPr>
    </w:p>
    <w:p w:rsidR="00E975C6" w:rsidRPr="000D0745" w:rsidRDefault="00E975C6" w:rsidP="00C4534A">
      <w:pPr>
        <w:rPr>
          <w:sz w:val="24"/>
          <w:szCs w:val="24"/>
          <w:lang w:val="en-GB"/>
        </w:rPr>
      </w:pPr>
    </w:p>
    <w:p w:rsidR="00800C65" w:rsidRPr="006B76D2" w:rsidRDefault="00847A38" w:rsidP="00C4534A">
      <w:pPr>
        <w:pStyle w:val="Heading1"/>
        <w:numPr>
          <w:ilvl w:val="1"/>
          <w:numId w:val="16"/>
        </w:numPr>
        <w:ind w:left="567" w:hanging="567"/>
        <w:rPr>
          <w:rFonts w:eastAsia="Arial"/>
          <w:sz w:val="24"/>
          <w:szCs w:val="24"/>
        </w:rPr>
      </w:pPr>
      <w:bookmarkStart w:id="44" w:name="_Toc454455989"/>
      <w:bookmarkStart w:id="45" w:name="_Toc363823754"/>
      <w:r>
        <w:rPr>
          <w:rFonts w:eastAsia="Arial"/>
          <w:sz w:val="24"/>
          <w:szCs w:val="24"/>
        </w:rPr>
        <w:t>S</w:t>
      </w:r>
      <w:r w:rsidR="007B7BAC" w:rsidRPr="006B76D2">
        <w:rPr>
          <w:rFonts w:eastAsia="Arial"/>
          <w:sz w:val="24"/>
          <w:szCs w:val="24"/>
        </w:rPr>
        <w:t xml:space="preserve">CCG’s </w:t>
      </w:r>
      <w:r w:rsidR="00B35893" w:rsidRPr="006B76D2">
        <w:rPr>
          <w:rFonts w:eastAsia="Arial"/>
          <w:sz w:val="24"/>
          <w:szCs w:val="24"/>
        </w:rPr>
        <w:t>Prime Financial Policies</w:t>
      </w:r>
      <w:bookmarkEnd w:id="44"/>
      <w:r w:rsidR="00B35893" w:rsidRPr="006B76D2">
        <w:rPr>
          <w:rFonts w:eastAsia="Arial"/>
          <w:sz w:val="24"/>
          <w:szCs w:val="24"/>
        </w:rPr>
        <w:t xml:space="preserve"> </w:t>
      </w:r>
      <w:bookmarkEnd w:id="45"/>
    </w:p>
    <w:p w:rsidR="00B35893" w:rsidRPr="000D0745" w:rsidRDefault="00B35893" w:rsidP="00C4534A">
      <w:pPr>
        <w:rPr>
          <w:sz w:val="24"/>
          <w:szCs w:val="24"/>
          <w:lang w:val="en-GB"/>
        </w:rPr>
      </w:pPr>
    </w:p>
    <w:p w:rsidR="0019764D" w:rsidRPr="00F55A4C" w:rsidRDefault="008A3437" w:rsidP="00C4534A">
      <w:pPr>
        <w:ind w:left="567"/>
        <w:rPr>
          <w:sz w:val="24"/>
          <w:szCs w:val="24"/>
          <w:lang w:val="en-GB"/>
        </w:rPr>
      </w:pPr>
      <w:r w:rsidRPr="000D0745">
        <w:rPr>
          <w:sz w:val="24"/>
          <w:szCs w:val="24"/>
          <w:lang w:val="en-GB"/>
        </w:rPr>
        <w:t xml:space="preserve">Section 13 of </w:t>
      </w:r>
      <w:r w:rsidR="00847A38">
        <w:rPr>
          <w:sz w:val="24"/>
          <w:szCs w:val="24"/>
          <w:lang w:val="en-GB"/>
        </w:rPr>
        <w:t>S</w:t>
      </w:r>
      <w:r w:rsidR="00614CB9" w:rsidRPr="000D0745">
        <w:rPr>
          <w:sz w:val="24"/>
          <w:szCs w:val="24"/>
          <w:lang w:val="en-GB"/>
        </w:rPr>
        <w:t>CCG</w:t>
      </w:r>
      <w:r w:rsidR="00800C65" w:rsidRPr="000D0745">
        <w:rPr>
          <w:sz w:val="24"/>
          <w:szCs w:val="24"/>
          <w:lang w:val="en-GB"/>
        </w:rPr>
        <w:t xml:space="preserve">’s </w:t>
      </w:r>
      <w:r w:rsidR="00B35893" w:rsidRPr="000D0745">
        <w:rPr>
          <w:sz w:val="24"/>
          <w:szCs w:val="24"/>
          <w:lang w:val="en-GB"/>
        </w:rPr>
        <w:t xml:space="preserve">Prime Financial Policy </w:t>
      </w:r>
      <w:r w:rsidR="007B7BAC">
        <w:rPr>
          <w:sz w:val="24"/>
          <w:szCs w:val="24"/>
          <w:lang w:val="en-GB"/>
        </w:rPr>
        <w:t xml:space="preserve">document within </w:t>
      </w:r>
      <w:r w:rsidR="00847A38">
        <w:rPr>
          <w:sz w:val="24"/>
          <w:szCs w:val="24"/>
          <w:lang w:val="en-GB"/>
        </w:rPr>
        <w:t>S</w:t>
      </w:r>
      <w:r w:rsidR="007B7BAC">
        <w:rPr>
          <w:sz w:val="24"/>
          <w:szCs w:val="24"/>
          <w:lang w:val="en-GB"/>
        </w:rPr>
        <w:t xml:space="preserve">CCG’s Constitution </w:t>
      </w:r>
      <w:r w:rsidR="00B35893" w:rsidRPr="000D0745">
        <w:rPr>
          <w:sz w:val="24"/>
          <w:szCs w:val="24"/>
          <w:lang w:val="en-GB"/>
        </w:rPr>
        <w:t>set</w:t>
      </w:r>
      <w:r w:rsidRPr="000D0745">
        <w:rPr>
          <w:sz w:val="24"/>
          <w:szCs w:val="24"/>
          <w:lang w:val="en-GB"/>
        </w:rPr>
        <w:t>s out</w:t>
      </w:r>
      <w:r w:rsidR="00B35893" w:rsidRPr="000D0745">
        <w:rPr>
          <w:sz w:val="24"/>
          <w:szCs w:val="24"/>
          <w:lang w:val="en-GB"/>
        </w:rPr>
        <w:t xml:space="preserve"> </w:t>
      </w:r>
      <w:r w:rsidRPr="00F55A4C">
        <w:rPr>
          <w:sz w:val="24"/>
          <w:szCs w:val="24"/>
          <w:lang w:val="en-GB"/>
        </w:rPr>
        <w:t>t</w:t>
      </w:r>
      <w:r w:rsidR="00B35893" w:rsidRPr="00F55A4C">
        <w:rPr>
          <w:sz w:val="24"/>
          <w:szCs w:val="24"/>
          <w:lang w:val="en-GB"/>
        </w:rPr>
        <w:t>he procurement limits for both revenue and capital purchases</w:t>
      </w:r>
      <w:r w:rsidRPr="00F55A4C">
        <w:rPr>
          <w:sz w:val="24"/>
          <w:szCs w:val="24"/>
          <w:lang w:val="en-GB"/>
        </w:rPr>
        <w:t xml:space="preserve"> these are as follows: </w:t>
      </w:r>
      <w:r w:rsidR="00B35893" w:rsidRPr="00F55A4C">
        <w:rPr>
          <w:sz w:val="24"/>
          <w:szCs w:val="24"/>
          <w:lang w:val="en-GB"/>
        </w:rPr>
        <w:t xml:space="preserve"> </w:t>
      </w:r>
    </w:p>
    <w:p w:rsidR="0019764D" w:rsidRPr="00F55A4C" w:rsidRDefault="0019764D" w:rsidP="00C4534A">
      <w:pPr>
        <w:ind w:left="567"/>
        <w:rPr>
          <w:sz w:val="24"/>
          <w:szCs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306"/>
        <w:gridCol w:w="3754"/>
        <w:gridCol w:w="2200"/>
        <w:gridCol w:w="1877"/>
      </w:tblGrid>
      <w:tr w:rsidR="00800C65" w:rsidRPr="000D0745" w:rsidTr="00C4534A">
        <w:tc>
          <w:tcPr>
            <w:tcW w:w="1306"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Total Contract Value</w:t>
            </w:r>
          </w:p>
        </w:tc>
        <w:tc>
          <w:tcPr>
            <w:tcW w:w="3754"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 xml:space="preserve">Type of Procurement Required </w:t>
            </w:r>
          </w:p>
        </w:tc>
        <w:tc>
          <w:tcPr>
            <w:tcW w:w="2200"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Procurement Options</w:t>
            </w:r>
          </w:p>
        </w:tc>
        <w:tc>
          <w:tcPr>
            <w:tcW w:w="1877"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Timescales</w:t>
            </w:r>
          </w:p>
        </w:tc>
      </w:tr>
      <w:tr w:rsidR="00800C65" w:rsidRPr="000D0745" w:rsidTr="007B7BAC">
        <w:trPr>
          <w:trHeight w:val="489"/>
        </w:trPr>
        <w:tc>
          <w:tcPr>
            <w:tcW w:w="1306" w:type="dxa"/>
          </w:tcPr>
          <w:p w:rsidR="00800C65" w:rsidRPr="000D0745" w:rsidRDefault="008A3437" w:rsidP="00C4534A">
            <w:pPr>
              <w:rPr>
                <w:rFonts w:eastAsia="Calibri" w:cs="Arial"/>
                <w:sz w:val="24"/>
                <w:szCs w:val="24"/>
                <w:lang w:val="en-GB"/>
              </w:rPr>
            </w:pPr>
            <w:r w:rsidRPr="000D0745">
              <w:rPr>
                <w:rFonts w:eastAsia="Calibri" w:cs="Arial"/>
                <w:sz w:val="24"/>
                <w:szCs w:val="24"/>
                <w:lang w:val="en-GB"/>
              </w:rPr>
              <w:t>Up to £10</w:t>
            </w:r>
            <w:r w:rsidR="00800C65" w:rsidRPr="000D0745">
              <w:rPr>
                <w:rFonts w:eastAsia="Calibri" w:cs="Arial"/>
                <w:sz w:val="24"/>
                <w:szCs w:val="24"/>
                <w:lang w:val="en-GB"/>
              </w:rPr>
              <w:t xml:space="preserve">k </w:t>
            </w:r>
          </w:p>
        </w:tc>
        <w:tc>
          <w:tcPr>
            <w:tcW w:w="3754" w:type="dxa"/>
          </w:tcPr>
          <w:p w:rsidR="008A3437" w:rsidRPr="000D0745" w:rsidRDefault="00800C65" w:rsidP="00C4534A">
            <w:pPr>
              <w:textAlignment w:val="center"/>
              <w:rPr>
                <w:rFonts w:cs="Arial"/>
                <w:color w:val="000000"/>
                <w:sz w:val="24"/>
                <w:szCs w:val="24"/>
              </w:rPr>
            </w:pPr>
            <w:r w:rsidRPr="000D0745">
              <w:rPr>
                <w:rFonts w:eastAsia="Calibri" w:cs="Arial"/>
                <w:sz w:val="24"/>
                <w:szCs w:val="24"/>
                <w:lang w:val="en-GB"/>
              </w:rPr>
              <w:t>1 quotation required</w:t>
            </w:r>
            <w:r w:rsidR="008A3437" w:rsidRPr="000D0745">
              <w:rPr>
                <w:rFonts w:eastAsia="Calibri" w:cs="Arial"/>
                <w:sz w:val="24"/>
                <w:szCs w:val="24"/>
                <w:lang w:val="en-GB"/>
              </w:rPr>
              <w:t xml:space="preserve"> </w:t>
            </w:r>
            <w:r w:rsidR="008A3437" w:rsidRPr="000D0745">
              <w:rPr>
                <w:rFonts w:cs="Arial"/>
                <w:color w:val="000000"/>
                <w:sz w:val="24"/>
                <w:szCs w:val="24"/>
              </w:rPr>
              <w:t>use standard requisition process. For audit purposes and to demonstrate that value for money has been considered, wherever possible staff should ensure that a quotation is attached to the requisition for both single and multiple items if this is not already available via an existing contract.</w:t>
            </w:r>
          </w:p>
          <w:p w:rsidR="00800C65" w:rsidRPr="000D0745" w:rsidRDefault="00800C65" w:rsidP="00C4534A">
            <w:pPr>
              <w:rPr>
                <w:rFonts w:eastAsia="Calibri" w:cs="Arial"/>
                <w:sz w:val="24"/>
                <w:szCs w:val="24"/>
                <w:lang w:val="en-GB"/>
              </w:rPr>
            </w:pPr>
          </w:p>
        </w:tc>
        <w:tc>
          <w:tcPr>
            <w:tcW w:w="2200"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t>Adhere to local/national contracts</w:t>
            </w:r>
          </w:p>
        </w:tc>
        <w:tc>
          <w:tcPr>
            <w:tcW w:w="1877"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t>1 week</w:t>
            </w:r>
          </w:p>
        </w:tc>
      </w:tr>
      <w:tr w:rsidR="00800C65" w:rsidRPr="000D0745" w:rsidTr="007B7BAC">
        <w:trPr>
          <w:trHeight w:val="578"/>
        </w:trPr>
        <w:tc>
          <w:tcPr>
            <w:tcW w:w="1306" w:type="dxa"/>
            <w:vMerge w:val="restart"/>
          </w:tcPr>
          <w:p w:rsidR="00800C65" w:rsidRPr="000D0745" w:rsidRDefault="008A3437" w:rsidP="00C4534A">
            <w:pPr>
              <w:rPr>
                <w:rFonts w:eastAsia="Calibri" w:cs="Arial"/>
                <w:sz w:val="24"/>
                <w:szCs w:val="24"/>
                <w:lang w:val="en-GB"/>
              </w:rPr>
            </w:pPr>
            <w:r w:rsidRPr="000D0745">
              <w:rPr>
                <w:rFonts w:eastAsia="Calibri" w:cs="Arial"/>
                <w:sz w:val="24"/>
                <w:szCs w:val="24"/>
                <w:lang w:val="en-GB"/>
              </w:rPr>
              <w:t>Between £10</w:t>
            </w:r>
            <w:r w:rsidR="00800C65" w:rsidRPr="000D0745">
              <w:rPr>
                <w:rFonts w:eastAsia="Calibri" w:cs="Arial"/>
                <w:sz w:val="24"/>
                <w:szCs w:val="24"/>
                <w:lang w:val="en-GB"/>
              </w:rPr>
              <w:t>k and £50k</w:t>
            </w:r>
          </w:p>
        </w:tc>
        <w:tc>
          <w:tcPr>
            <w:tcW w:w="3754" w:type="dxa"/>
            <w:vMerge w:val="restart"/>
          </w:tcPr>
          <w:p w:rsidR="00800C65" w:rsidRPr="000D0745" w:rsidRDefault="00800C65" w:rsidP="00C4534A">
            <w:pPr>
              <w:rPr>
                <w:rFonts w:eastAsia="Calibri" w:cs="Arial"/>
                <w:sz w:val="24"/>
                <w:szCs w:val="24"/>
                <w:lang w:val="en-GB"/>
              </w:rPr>
            </w:pPr>
            <w:r w:rsidRPr="000D0745">
              <w:rPr>
                <w:rFonts w:eastAsia="Calibri" w:cs="Arial"/>
                <w:sz w:val="24"/>
                <w:szCs w:val="24"/>
                <w:lang w:val="en-GB"/>
              </w:rPr>
              <w:t xml:space="preserve">3 quotations </w:t>
            </w:r>
            <w:r w:rsidR="00EF6EF8">
              <w:rPr>
                <w:rFonts w:eastAsia="Calibri" w:cs="Arial"/>
                <w:sz w:val="24"/>
                <w:szCs w:val="24"/>
                <w:lang w:val="en-GB"/>
              </w:rPr>
              <w:t>sought</w:t>
            </w:r>
            <w:r w:rsidR="00EF6EF8" w:rsidRPr="000D0745">
              <w:rPr>
                <w:rFonts w:eastAsia="Calibri" w:cs="Arial"/>
                <w:sz w:val="24"/>
                <w:szCs w:val="24"/>
                <w:lang w:val="en-GB"/>
              </w:rPr>
              <w:t xml:space="preserve"> </w:t>
            </w:r>
            <w:r w:rsidRPr="000D0745">
              <w:rPr>
                <w:rFonts w:eastAsia="Calibri" w:cs="Arial"/>
                <w:sz w:val="24"/>
                <w:szCs w:val="24"/>
                <w:lang w:val="en-GB"/>
              </w:rPr>
              <w:t xml:space="preserve">(waiver required if 3 quotes </w:t>
            </w:r>
            <w:r w:rsidR="00445104">
              <w:rPr>
                <w:rFonts w:eastAsia="Calibri" w:cs="Arial"/>
                <w:sz w:val="24"/>
                <w:szCs w:val="24"/>
                <w:lang w:val="en-GB"/>
              </w:rPr>
              <w:t>weren’</w:t>
            </w:r>
            <w:r w:rsidR="00EF6EF8">
              <w:rPr>
                <w:rFonts w:eastAsia="Calibri" w:cs="Arial"/>
                <w:sz w:val="24"/>
                <w:szCs w:val="24"/>
                <w:lang w:val="en-GB"/>
              </w:rPr>
              <w:t>t sought</w:t>
            </w:r>
            <w:r w:rsidRPr="000D0745">
              <w:rPr>
                <w:rFonts w:eastAsia="Calibri" w:cs="Arial"/>
                <w:sz w:val="24"/>
                <w:szCs w:val="24"/>
                <w:lang w:val="en-GB"/>
              </w:rPr>
              <w:t>)</w:t>
            </w:r>
          </w:p>
        </w:tc>
        <w:tc>
          <w:tcPr>
            <w:tcW w:w="2200" w:type="dxa"/>
          </w:tcPr>
          <w:p w:rsidR="00800C65" w:rsidRPr="000D0745" w:rsidRDefault="00393470" w:rsidP="00C4534A">
            <w:pPr>
              <w:rPr>
                <w:rFonts w:eastAsia="Calibri" w:cs="Arial"/>
                <w:sz w:val="24"/>
                <w:szCs w:val="24"/>
                <w:lang w:val="en-GB"/>
              </w:rPr>
            </w:pPr>
            <w:r>
              <w:rPr>
                <w:rFonts w:eastAsia="Calibri" w:cs="Arial"/>
                <w:sz w:val="24"/>
                <w:szCs w:val="24"/>
                <w:lang w:val="en-GB"/>
              </w:rPr>
              <w:t>‘Call for further competition’</w:t>
            </w:r>
            <w:r w:rsidR="00800C65" w:rsidRPr="000D0745">
              <w:rPr>
                <w:rFonts w:eastAsia="Calibri" w:cs="Arial"/>
                <w:sz w:val="24"/>
                <w:szCs w:val="24"/>
                <w:lang w:val="en-GB"/>
              </w:rPr>
              <w:t xml:space="preserve"> through framework agreement</w:t>
            </w:r>
          </w:p>
        </w:tc>
        <w:tc>
          <w:tcPr>
            <w:tcW w:w="1877" w:type="dxa"/>
            <w:vMerge w:val="restart"/>
          </w:tcPr>
          <w:p w:rsidR="00800C65" w:rsidRPr="000D0745" w:rsidRDefault="00635F16" w:rsidP="00C4534A">
            <w:pPr>
              <w:rPr>
                <w:rFonts w:eastAsia="Calibri" w:cs="Arial"/>
                <w:sz w:val="24"/>
                <w:szCs w:val="24"/>
                <w:lang w:val="en-GB"/>
              </w:rPr>
            </w:pPr>
            <w:r>
              <w:rPr>
                <w:rFonts w:eastAsia="Calibri" w:cs="Arial"/>
                <w:sz w:val="24"/>
                <w:szCs w:val="24"/>
                <w:lang w:val="en-GB"/>
              </w:rPr>
              <w:t>2</w:t>
            </w:r>
            <w:r w:rsidR="00800C65" w:rsidRPr="000D0745">
              <w:rPr>
                <w:rFonts w:eastAsia="Calibri" w:cs="Arial"/>
                <w:sz w:val="24"/>
                <w:szCs w:val="24"/>
                <w:lang w:val="en-GB"/>
              </w:rPr>
              <w:t>-4 weeks</w:t>
            </w:r>
          </w:p>
        </w:tc>
      </w:tr>
      <w:tr w:rsidR="00800C65" w:rsidRPr="000D0745" w:rsidTr="007B7BAC">
        <w:trPr>
          <w:trHeight w:val="285"/>
        </w:trPr>
        <w:tc>
          <w:tcPr>
            <w:tcW w:w="1306" w:type="dxa"/>
            <w:vMerge/>
          </w:tcPr>
          <w:p w:rsidR="00800C65" w:rsidRPr="000D0745" w:rsidRDefault="00800C65" w:rsidP="00C4534A">
            <w:pPr>
              <w:rPr>
                <w:rFonts w:eastAsia="Calibri" w:cs="Arial"/>
                <w:sz w:val="24"/>
                <w:szCs w:val="24"/>
                <w:lang w:val="en-GB"/>
              </w:rPr>
            </w:pPr>
          </w:p>
        </w:tc>
        <w:tc>
          <w:tcPr>
            <w:tcW w:w="3754" w:type="dxa"/>
            <w:vMerge/>
          </w:tcPr>
          <w:p w:rsidR="00800C65" w:rsidRPr="000D0745" w:rsidRDefault="00800C65" w:rsidP="00C4534A">
            <w:pPr>
              <w:rPr>
                <w:rFonts w:eastAsia="Calibri" w:cs="Arial"/>
                <w:sz w:val="24"/>
                <w:szCs w:val="24"/>
                <w:lang w:val="en-GB"/>
              </w:rPr>
            </w:pPr>
          </w:p>
        </w:tc>
        <w:tc>
          <w:tcPr>
            <w:tcW w:w="2200"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t>SFI tender published on e-tendering website</w:t>
            </w:r>
          </w:p>
        </w:tc>
        <w:tc>
          <w:tcPr>
            <w:tcW w:w="1877" w:type="dxa"/>
            <w:vMerge/>
          </w:tcPr>
          <w:p w:rsidR="00800C65" w:rsidRPr="000D0745" w:rsidRDefault="00800C65" w:rsidP="00C4534A">
            <w:pPr>
              <w:rPr>
                <w:rFonts w:eastAsia="Calibri" w:cs="Arial"/>
                <w:sz w:val="24"/>
                <w:szCs w:val="24"/>
                <w:lang w:val="en-GB"/>
              </w:rPr>
            </w:pPr>
          </w:p>
        </w:tc>
      </w:tr>
      <w:tr w:rsidR="00635F16" w:rsidRPr="000D0745" w:rsidTr="007B7BAC">
        <w:trPr>
          <w:trHeight w:val="690"/>
        </w:trPr>
        <w:tc>
          <w:tcPr>
            <w:tcW w:w="1306" w:type="dxa"/>
            <w:vMerge w:val="restart"/>
          </w:tcPr>
          <w:p w:rsidR="00635F16" w:rsidRPr="000D0745" w:rsidDel="00445104" w:rsidRDefault="00635F16" w:rsidP="00C4534A">
            <w:pPr>
              <w:rPr>
                <w:rFonts w:eastAsia="Calibri" w:cs="Arial"/>
                <w:sz w:val="24"/>
                <w:szCs w:val="24"/>
                <w:lang w:val="en-GB"/>
              </w:rPr>
            </w:pPr>
            <w:r>
              <w:rPr>
                <w:rFonts w:eastAsia="Calibri" w:cs="Arial"/>
                <w:sz w:val="24"/>
                <w:szCs w:val="24"/>
                <w:lang w:val="en-GB"/>
              </w:rPr>
              <w:t xml:space="preserve">Between </w:t>
            </w:r>
            <w:r w:rsidRPr="000D0745">
              <w:rPr>
                <w:rFonts w:eastAsia="Calibri" w:cs="Arial"/>
                <w:sz w:val="24"/>
                <w:szCs w:val="24"/>
                <w:lang w:val="en-GB"/>
              </w:rPr>
              <w:t xml:space="preserve">£50k </w:t>
            </w:r>
            <w:r>
              <w:rPr>
                <w:rFonts w:eastAsia="Calibri" w:cs="Arial"/>
                <w:sz w:val="24"/>
                <w:szCs w:val="24"/>
                <w:lang w:val="en-GB"/>
              </w:rPr>
              <w:t xml:space="preserve">and </w:t>
            </w:r>
            <w:r w:rsidR="00DB257D">
              <w:rPr>
                <w:rFonts w:eastAsia="Calibri" w:cs="Arial"/>
                <w:sz w:val="24"/>
                <w:szCs w:val="24"/>
                <w:lang w:val="en-GB"/>
              </w:rPr>
              <w:t>£</w:t>
            </w:r>
            <w:r>
              <w:rPr>
                <w:rFonts w:eastAsia="Calibri" w:cs="Arial"/>
                <w:sz w:val="24"/>
                <w:szCs w:val="24"/>
                <w:lang w:val="en-GB"/>
              </w:rPr>
              <w:t>100k</w:t>
            </w:r>
          </w:p>
        </w:tc>
        <w:tc>
          <w:tcPr>
            <w:tcW w:w="3754" w:type="dxa"/>
            <w:vMerge w:val="restart"/>
          </w:tcPr>
          <w:p w:rsidR="00635F16" w:rsidRDefault="00635F16" w:rsidP="00C4534A">
            <w:pPr>
              <w:rPr>
                <w:rFonts w:eastAsia="Calibri" w:cs="Arial"/>
                <w:sz w:val="24"/>
                <w:szCs w:val="24"/>
                <w:lang w:val="en-GB"/>
              </w:rPr>
            </w:pPr>
            <w:r>
              <w:rPr>
                <w:rFonts w:eastAsia="Calibri" w:cs="Arial"/>
                <w:sz w:val="24"/>
                <w:szCs w:val="24"/>
                <w:lang w:val="en-GB"/>
              </w:rPr>
              <w:t>5</w:t>
            </w:r>
            <w:r w:rsidRPr="000D0745">
              <w:rPr>
                <w:rFonts w:eastAsia="Calibri" w:cs="Arial"/>
                <w:sz w:val="24"/>
                <w:szCs w:val="24"/>
                <w:lang w:val="en-GB"/>
              </w:rPr>
              <w:t xml:space="preserve"> quotations </w:t>
            </w:r>
            <w:r>
              <w:rPr>
                <w:rFonts w:eastAsia="Calibri" w:cs="Arial"/>
                <w:sz w:val="24"/>
                <w:szCs w:val="24"/>
                <w:lang w:val="en-GB"/>
              </w:rPr>
              <w:t>sought</w:t>
            </w:r>
            <w:r w:rsidRPr="000D0745">
              <w:rPr>
                <w:rFonts w:eastAsia="Calibri" w:cs="Arial"/>
                <w:sz w:val="24"/>
                <w:szCs w:val="24"/>
                <w:lang w:val="en-GB"/>
              </w:rPr>
              <w:t xml:space="preserve"> </w:t>
            </w:r>
            <w:r>
              <w:rPr>
                <w:rFonts w:eastAsia="Calibri" w:cs="Arial"/>
                <w:sz w:val="24"/>
                <w:szCs w:val="24"/>
                <w:lang w:val="en-GB"/>
              </w:rPr>
              <w:t>(waiver required if 5</w:t>
            </w:r>
            <w:r w:rsidRPr="000D0745">
              <w:rPr>
                <w:rFonts w:eastAsia="Calibri" w:cs="Arial"/>
                <w:sz w:val="24"/>
                <w:szCs w:val="24"/>
                <w:lang w:val="en-GB"/>
              </w:rPr>
              <w:t xml:space="preserve"> quotes </w:t>
            </w:r>
            <w:r>
              <w:rPr>
                <w:rFonts w:eastAsia="Calibri" w:cs="Arial"/>
                <w:sz w:val="24"/>
                <w:szCs w:val="24"/>
                <w:lang w:val="en-GB"/>
              </w:rPr>
              <w:t>weren’t sought</w:t>
            </w:r>
            <w:r w:rsidRPr="000D0745">
              <w:rPr>
                <w:rFonts w:eastAsia="Calibri" w:cs="Arial"/>
                <w:sz w:val="24"/>
                <w:szCs w:val="24"/>
                <w:lang w:val="en-GB"/>
              </w:rPr>
              <w:t>)</w:t>
            </w:r>
          </w:p>
        </w:tc>
        <w:tc>
          <w:tcPr>
            <w:tcW w:w="2200" w:type="dxa"/>
          </w:tcPr>
          <w:p w:rsidR="00635F16" w:rsidRPr="000D0745" w:rsidRDefault="00393470" w:rsidP="00C4534A">
            <w:pPr>
              <w:rPr>
                <w:rFonts w:eastAsia="Calibri" w:cs="Arial"/>
                <w:sz w:val="24"/>
                <w:szCs w:val="24"/>
                <w:lang w:val="en-GB"/>
              </w:rPr>
            </w:pPr>
            <w:r>
              <w:rPr>
                <w:rFonts w:eastAsia="Calibri" w:cs="Arial"/>
                <w:sz w:val="24"/>
                <w:szCs w:val="24"/>
                <w:lang w:val="en-GB"/>
              </w:rPr>
              <w:t>‘Call for further competition’</w:t>
            </w:r>
            <w:r w:rsidRPr="000D0745">
              <w:rPr>
                <w:rFonts w:eastAsia="Calibri" w:cs="Arial"/>
                <w:sz w:val="24"/>
                <w:szCs w:val="24"/>
                <w:lang w:val="en-GB"/>
              </w:rPr>
              <w:t xml:space="preserve"> </w:t>
            </w:r>
            <w:r w:rsidR="00635F16" w:rsidRPr="000D0745">
              <w:rPr>
                <w:rFonts w:eastAsia="Calibri" w:cs="Arial"/>
                <w:sz w:val="24"/>
                <w:szCs w:val="24"/>
                <w:lang w:val="en-GB"/>
              </w:rPr>
              <w:t>through framework agreement</w:t>
            </w:r>
          </w:p>
        </w:tc>
        <w:tc>
          <w:tcPr>
            <w:tcW w:w="1877" w:type="dxa"/>
            <w:vMerge w:val="restart"/>
          </w:tcPr>
          <w:p w:rsidR="00635F16" w:rsidRPr="000D0745" w:rsidRDefault="00635F16" w:rsidP="00C4534A">
            <w:pPr>
              <w:rPr>
                <w:rFonts w:eastAsia="Calibri" w:cs="Arial"/>
                <w:sz w:val="24"/>
                <w:szCs w:val="24"/>
                <w:lang w:val="en-GB"/>
              </w:rPr>
            </w:pPr>
            <w:r>
              <w:rPr>
                <w:rFonts w:eastAsia="Calibri" w:cs="Arial"/>
                <w:sz w:val="24"/>
                <w:szCs w:val="24"/>
                <w:lang w:val="en-GB"/>
              </w:rPr>
              <w:t>2</w:t>
            </w:r>
            <w:r w:rsidRPr="000D0745">
              <w:rPr>
                <w:rFonts w:eastAsia="Calibri" w:cs="Arial"/>
                <w:sz w:val="24"/>
                <w:szCs w:val="24"/>
                <w:lang w:val="en-GB"/>
              </w:rPr>
              <w:t>-8 weeks</w:t>
            </w:r>
          </w:p>
        </w:tc>
      </w:tr>
      <w:tr w:rsidR="00635F16" w:rsidRPr="000D0745" w:rsidTr="007B7BAC">
        <w:trPr>
          <w:trHeight w:val="690"/>
        </w:trPr>
        <w:tc>
          <w:tcPr>
            <w:tcW w:w="1306" w:type="dxa"/>
            <w:vMerge/>
          </w:tcPr>
          <w:p w:rsidR="00635F16" w:rsidRPr="000D0745" w:rsidDel="00445104" w:rsidRDefault="00635F16" w:rsidP="00C4534A">
            <w:pPr>
              <w:rPr>
                <w:rFonts w:eastAsia="Calibri" w:cs="Arial"/>
                <w:sz w:val="24"/>
                <w:szCs w:val="24"/>
                <w:lang w:val="en-GB"/>
              </w:rPr>
            </w:pPr>
          </w:p>
        </w:tc>
        <w:tc>
          <w:tcPr>
            <w:tcW w:w="3754" w:type="dxa"/>
            <w:vMerge/>
          </w:tcPr>
          <w:p w:rsidR="00635F16"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SFI tender published on e-tendering website</w:t>
            </w:r>
          </w:p>
        </w:tc>
        <w:tc>
          <w:tcPr>
            <w:tcW w:w="1877" w:type="dxa"/>
            <w:vMerge/>
          </w:tcPr>
          <w:p w:rsidR="00635F16" w:rsidRPr="000D0745" w:rsidRDefault="00635F16" w:rsidP="00C4534A">
            <w:pPr>
              <w:rPr>
                <w:rFonts w:eastAsia="Calibri" w:cs="Arial"/>
                <w:sz w:val="24"/>
                <w:szCs w:val="24"/>
                <w:lang w:val="en-GB"/>
              </w:rPr>
            </w:pPr>
          </w:p>
        </w:tc>
      </w:tr>
      <w:tr w:rsidR="00635F16" w:rsidRPr="000D0745" w:rsidTr="00F55A4C">
        <w:trPr>
          <w:trHeight w:val="787"/>
        </w:trPr>
        <w:tc>
          <w:tcPr>
            <w:tcW w:w="1306" w:type="dxa"/>
            <w:vMerge w:val="restart"/>
          </w:tcPr>
          <w:p w:rsidR="00635F16" w:rsidRDefault="00635F16" w:rsidP="00C4534A">
            <w:pPr>
              <w:rPr>
                <w:rFonts w:eastAsia="Calibri" w:cs="Arial"/>
                <w:sz w:val="24"/>
                <w:szCs w:val="24"/>
                <w:lang w:val="en-GB"/>
              </w:rPr>
            </w:pPr>
            <w:r>
              <w:rPr>
                <w:rFonts w:eastAsia="Calibri" w:cs="Arial"/>
                <w:sz w:val="24"/>
                <w:szCs w:val="24"/>
                <w:lang w:val="en-GB"/>
              </w:rPr>
              <w:t xml:space="preserve">Over </w:t>
            </w:r>
            <w:r w:rsidR="00DB257D">
              <w:rPr>
                <w:rFonts w:eastAsia="Calibri" w:cs="Arial"/>
                <w:sz w:val="24"/>
                <w:szCs w:val="24"/>
                <w:lang w:val="en-GB"/>
              </w:rPr>
              <w:t>£</w:t>
            </w:r>
            <w:r>
              <w:rPr>
                <w:rFonts w:eastAsia="Calibri" w:cs="Arial"/>
                <w:sz w:val="24"/>
                <w:szCs w:val="24"/>
                <w:lang w:val="en-GB"/>
              </w:rPr>
              <w:t>100k</w:t>
            </w:r>
          </w:p>
        </w:tc>
        <w:tc>
          <w:tcPr>
            <w:tcW w:w="3754" w:type="dxa"/>
            <w:vMerge w:val="restart"/>
          </w:tcPr>
          <w:p w:rsidR="00635F16" w:rsidRDefault="00635F16" w:rsidP="00C4534A">
            <w:pPr>
              <w:rPr>
                <w:rFonts w:eastAsia="Calibri" w:cs="Arial"/>
                <w:sz w:val="24"/>
                <w:szCs w:val="24"/>
                <w:lang w:val="en-GB"/>
              </w:rPr>
            </w:pPr>
            <w:r>
              <w:rPr>
                <w:rFonts w:eastAsia="Calibri" w:cs="Arial"/>
                <w:sz w:val="24"/>
                <w:szCs w:val="24"/>
                <w:lang w:val="en-GB"/>
              </w:rPr>
              <w:t>Full tender required (Any decision not to put a service out to tender should be discussed and confirmed at Governing Body.)</w:t>
            </w:r>
          </w:p>
          <w:p w:rsidR="00635F16"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Any Qualified Provider (AQP)</w:t>
            </w:r>
          </w:p>
        </w:tc>
        <w:tc>
          <w:tcPr>
            <w:tcW w:w="1877"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2-4 months</w:t>
            </w:r>
          </w:p>
        </w:tc>
      </w:tr>
      <w:tr w:rsidR="00635F16" w:rsidRPr="000D0745" w:rsidTr="007B7BAC">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Standard OJEU - Open</w:t>
            </w:r>
          </w:p>
        </w:tc>
        <w:tc>
          <w:tcPr>
            <w:tcW w:w="1877" w:type="dxa"/>
            <w:vMerge w:val="restart"/>
          </w:tcPr>
          <w:p w:rsidR="00635F16" w:rsidRPr="000D0745" w:rsidRDefault="00635F16" w:rsidP="00C4534A">
            <w:pPr>
              <w:rPr>
                <w:rFonts w:eastAsia="Calibri" w:cs="Arial"/>
                <w:sz w:val="24"/>
                <w:szCs w:val="24"/>
                <w:lang w:val="en-GB"/>
              </w:rPr>
            </w:pPr>
            <w:r w:rsidRPr="000D0745">
              <w:rPr>
                <w:rFonts w:eastAsia="Calibri" w:cs="Arial"/>
                <w:sz w:val="24"/>
                <w:szCs w:val="24"/>
                <w:lang w:val="en-GB"/>
              </w:rPr>
              <w:t>5-6 months</w:t>
            </w:r>
          </w:p>
          <w:p w:rsidR="00635F16" w:rsidRPr="000D0745" w:rsidRDefault="00635F16" w:rsidP="00C4534A">
            <w:pPr>
              <w:rPr>
                <w:rFonts w:eastAsia="Calibri" w:cs="Arial"/>
                <w:sz w:val="24"/>
                <w:szCs w:val="24"/>
                <w:lang w:val="en-GB"/>
              </w:rPr>
            </w:pPr>
          </w:p>
        </w:tc>
      </w:tr>
      <w:tr w:rsidR="00635F16" w:rsidRPr="000D0745" w:rsidTr="007B7BAC">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Standard OJEU - Restricted</w:t>
            </w:r>
          </w:p>
        </w:tc>
        <w:tc>
          <w:tcPr>
            <w:tcW w:w="1877" w:type="dxa"/>
            <w:vMerge/>
          </w:tcPr>
          <w:p w:rsidR="00635F16" w:rsidRPr="000D0745" w:rsidRDefault="00635F16" w:rsidP="00C4534A">
            <w:pPr>
              <w:rPr>
                <w:rFonts w:eastAsia="Calibri" w:cs="Arial"/>
                <w:sz w:val="24"/>
                <w:szCs w:val="24"/>
                <w:lang w:val="en-GB"/>
              </w:rPr>
            </w:pPr>
          </w:p>
        </w:tc>
      </w:tr>
      <w:tr w:rsidR="00635F16" w:rsidRPr="000D0745" w:rsidTr="0041447C">
        <w:trPr>
          <w:trHeight w:val="1033"/>
        </w:trPr>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Complex OJEU - Competitive Dialogue</w:t>
            </w:r>
          </w:p>
        </w:tc>
        <w:tc>
          <w:tcPr>
            <w:tcW w:w="1877" w:type="dxa"/>
          </w:tcPr>
          <w:p w:rsidR="00635F16" w:rsidRPr="000D0745" w:rsidRDefault="00635F16" w:rsidP="00C4534A">
            <w:pPr>
              <w:numPr>
                <w:ilvl w:val="1"/>
                <w:numId w:val="29"/>
              </w:numPr>
              <w:rPr>
                <w:rFonts w:eastAsia="Calibri" w:cs="Arial"/>
                <w:sz w:val="24"/>
                <w:szCs w:val="24"/>
                <w:lang w:val="en-GB"/>
              </w:rPr>
            </w:pPr>
            <w:r w:rsidRPr="000D0745">
              <w:rPr>
                <w:rFonts w:eastAsia="Calibri" w:cs="Arial"/>
                <w:sz w:val="24"/>
                <w:szCs w:val="24"/>
                <w:lang w:val="en-GB"/>
              </w:rPr>
              <w:t>months +</w:t>
            </w:r>
          </w:p>
          <w:p w:rsidR="00635F16" w:rsidRPr="000D0745" w:rsidRDefault="00635F16" w:rsidP="00C4534A">
            <w:pPr>
              <w:numPr>
                <w:ilvl w:val="3"/>
                <w:numId w:val="8"/>
              </w:numPr>
              <w:rPr>
                <w:rFonts w:eastAsia="Calibri" w:cs="Arial"/>
                <w:sz w:val="24"/>
                <w:szCs w:val="24"/>
                <w:lang w:val="en-GB"/>
              </w:rPr>
            </w:pPr>
          </w:p>
        </w:tc>
      </w:tr>
    </w:tbl>
    <w:p w:rsidR="00800C65" w:rsidRDefault="00800C65" w:rsidP="00C4534A">
      <w:pPr>
        <w:rPr>
          <w:sz w:val="24"/>
          <w:szCs w:val="24"/>
          <w:lang w:val="en-GB"/>
        </w:rPr>
      </w:pPr>
    </w:p>
    <w:p w:rsidR="00694F84" w:rsidRPr="00694F84" w:rsidRDefault="00694F84" w:rsidP="00C4534A">
      <w:pPr>
        <w:ind w:left="567"/>
        <w:rPr>
          <w:sz w:val="24"/>
          <w:szCs w:val="24"/>
          <w:lang w:val="en-GB"/>
        </w:rPr>
      </w:pPr>
      <w:r w:rsidRPr="00694F84">
        <w:rPr>
          <w:sz w:val="24"/>
          <w:szCs w:val="24"/>
          <w:lang w:val="en-GB"/>
        </w:rPr>
        <w:t xml:space="preserve">In certain circumstances the procurement route specified below might not be appropriate. In such circumstances a procurement Waiver may be requested by the relevant director and authorised by the Accountable Officer or Chief Finance Officer. </w:t>
      </w:r>
    </w:p>
    <w:p w:rsidR="00694F84" w:rsidRDefault="00694F84" w:rsidP="00C4534A">
      <w:pPr>
        <w:rPr>
          <w:sz w:val="24"/>
          <w:szCs w:val="24"/>
          <w:lang w:val="en-GB"/>
        </w:rPr>
      </w:pPr>
    </w:p>
    <w:p w:rsidR="00800C65" w:rsidRDefault="0019764D" w:rsidP="00C4534A">
      <w:pPr>
        <w:pStyle w:val="Heading2"/>
        <w:numPr>
          <w:ilvl w:val="2"/>
          <w:numId w:val="16"/>
        </w:numPr>
        <w:ind w:left="1276" w:hanging="709"/>
        <w:jc w:val="left"/>
        <w:rPr>
          <w:sz w:val="24"/>
          <w:szCs w:val="24"/>
          <w:lang w:val="en-GB"/>
        </w:rPr>
      </w:pPr>
      <w:bookmarkStart w:id="46" w:name="_Toc363823755"/>
      <w:bookmarkStart w:id="47" w:name="_Toc454455990"/>
      <w:r w:rsidRPr="000D0745">
        <w:rPr>
          <w:sz w:val="24"/>
          <w:szCs w:val="24"/>
          <w:lang w:val="en-GB"/>
        </w:rPr>
        <w:t>For expenditure up to £10</w:t>
      </w:r>
      <w:r w:rsidR="00800C65" w:rsidRPr="000D0745">
        <w:rPr>
          <w:sz w:val="24"/>
          <w:szCs w:val="24"/>
          <w:lang w:val="en-GB"/>
        </w:rPr>
        <w:t>k</w:t>
      </w:r>
      <w:bookmarkEnd w:id="46"/>
      <w:bookmarkEnd w:id="47"/>
    </w:p>
    <w:p w:rsidR="00DC2426" w:rsidRPr="00DC2426" w:rsidRDefault="00DC2426" w:rsidP="00C4534A">
      <w:pPr>
        <w:ind w:left="720"/>
        <w:rPr>
          <w:lang w:val="en-GB" w:eastAsia="en-GB"/>
        </w:rPr>
      </w:pPr>
    </w:p>
    <w:p w:rsidR="00800C65" w:rsidRDefault="00800C65" w:rsidP="00C4534A">
      <w:pPr>
        <w:ind w:left="567"/>
        <w:rPr>
          <w:sz w:val="24"/>
          <w:szCs w:val="24"/>
          <w:lang w:val="en-GB"/>
        </w:rPr>
      </w:pPr>
      <w:r w:rsidRPr="000D0745">
        <w:rPr>
          <w:sz w:val="24"/>
          <w:szCs w:val="24"/>
          <w:lang w:val="en-GB"/>
        </w:rPr>
        <w:t>The procurement can be done locally and should follow the normal requisitioning procedures. All requisitioners will be expected to adhere to those contracts which have been negotiated by Regional or National Procurement teams for all goods/service</w:t>
      </w:r>
      <w:r w:rsidR="0019764D" w:rsidRPr="000D0745">
        <w:rPr>
          <w:sz w:val="24"/>
          <w:szCs w:val="24"/>
          <w:lang w:val="en-GB"/>
        </w:rPr>
        <w:t>s; this includes items under £10K</w:t>
      </w:r>
      <w:r w:rsidRPr="000D0745">
        <w:rPr>
          <w:sz w:val="24"/>
          <w:szCs w:val="24"/>
          <w:lang w:val="en-GB"/>
        </w:rPr>
        <w:t>. Where no contracts have been negotiated, or if they prove unsuitable, purchasers are free to request quotes from the open market.</w:t>
      </w:r>
    </w:p>
    <w:p w:rsidR="00393470" w:rsidRPr="000D0745" w:rsidRDefault="00393470" w:rsidP="00C4534A">
      <w:pPr>
        <w:ind w:left="567"/>
        <w:rPr>
          <w:sz w:val="24"/>
          <w:szCs w:val="24"/>
          <w:lang w:val="en-GB"/>
        </w:rPr>
      </w:pPr>
    </w:p>
    <w:p w:rsidR="00800C65" w:rsidRPr="000D0745" w:rsidRDefault="00800C65" w:rsidP="00C4534A">
      <w:pPr>
        <w:rPr>
          <w:sz w:val="24"/>
          <w:szCs w:val="24"/>
          <w:lang w:val="en-GB"/>
        </w:rPr>
      </w:pPr>
    </w:p>
    <w:p w:rsidR="00800C65" w:rsidRPr="000D0745" w:rsidRDefault="0019764D" w:rsidP="00C4534A">
      <w:pPr>
        <w:pStyle w:val="Heading2"/>
        <w:numPr>
          <w:ilvl w:val="2"/>
          <w:numId w:val="17"/>
        </w:numPr>
        <w:ind w:left="1276" w:hanging="709"/>
        <w:jc w:val="left"/>
        <w:rPr>
          <w:sz w:val="24"/>
          <w:szCs w:val="24"/>
          <w:lang w:val="en-GB"/>
        </w:rPr>
      </w:pPr>
      <w:bookmarkStart w:id="48" w:name="_Toc363823756"/>
      <w:bookmarkStart w:id="49" w:name="_Toc454455991"/>
      <w:r w:rsidRPr="000D0745">
        <w:rPr>
          <w:sz w:val="24"/>
          <w:szCs w:val="24"/>
          <w:lang w:val="en-GB"/>
        </w:rPr>
        <w:t>For expenditure between £10k to</w:t>
      </w:r>
      <w:r w:rsidR="00800C65" w:rsidRPr="000D0745">
        <w:rPr>
          <w:sz w:val="24"/>
          <w:szCs w:val="24"/>
          <w:lang w:val="en-GB"/>
        </w:rPr>
        <w:t xml:space="preserve"> £50k</w:t>
      </w:r>
      <w:bookmarkEnd w:id="48"/>
      <w:bookmarkEnd w:id="49"/>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 xml:space="preserve">The procurement can be done locally and should follow the normal requisitioning procedures. All </w:t>
      </w:r>
      <w:r w:rsidR="00F55A4C" w:rsidRPr="000D0745">
        <w:rPr>
          <w:sz w:val="24"/>
          <w:szCs w:val="24"/>
          <w:lang w:val="en-GB"/>
        </w:rPr>
        <w:t>requisition</w:t>
      </w:r>
      <w:r w:rsidR="006B76D2">
        <w:rPr>
          <w:sz w:val="24"/>
          <w:szCs w:val="24"/>
          <w:lang w:val="en-GB"/>
        </w:rPr>
        <w:t>ers</w:t>
      </w:r>
      <w:r w:rsidRPr="000D0745">
        <w:rPr>
          <w:sz w:val="24"/>
          <w:szCs w:val="24"/>
          <w:lang w:val="en-GB"/>
        </w:rPr>
        <w:t xml:space="preserve"> will be expected to adhere to those contracts which have been negotiated by Regional or National Procurement teams for all goods/services</w:t>
      </w:r>
      <w:r w:rsidR="005F2DC3">
        <w:rPr>
          <w:sz w:val="24"/>
          <w:szCs w:val="24"/>
          <w:lang w:val="en-GB"/>
        </w:rPr>
        <w:t xml:space="preserve">. </w:t>
      </w:r>
      <w:r w:rsidRPr="000D0745">
        <w:rPr>
          <w:sz w:val="24"/>
          <w:szCs w:val="24"/>
          <w:lang w:val="en-GB"/>
        </w:rPr>
        <w:t xml:space="preserve">Where no contracts have been negotiated, or if they prove unsuitable, purchasers are free to request </w:t>
      </w:r>
      <w:r w:rsidR="00AD03B7">
        <w:rPr>
          <w:sz w:val="24"/>
          <w:szCs w:val="24"/>
          <w:lang w:val="en-GB"/>
        </w:rPr>
        <w:t xml:space="preserve">that the SYPS obtains </w:t>
      </w:r>
      <w:r w:rsidRPr="000D0745">
        <w:rPr>
          <w:sz w:val="24"/>
          <w:szCs w:val="24"/>
          <w:lang w:val="en-GB"/>
        </w:rPr>
        <w:t>quotes from the open market.</w:t>
      </w:r>
      <w:r w:rsidR="00E05B8A">
        <w:rPr>
          <w:sz w:val="24"/>
          <w:szCs w:val="24"/>
          <w:lang w:val="en-GB"/>
        </w:rPr>
        <w:t xml:space="preserve"> </w:t>
      </w:r>
      <w:r w:rsidR="005F2DC3">
        <w:rPr>
          <w:sz w:val="24"/>
          <w:szCs w:val="24"/>
          <w:lang w:val="en-GB"/>
        </w:rPr>
        <w:t>A minimum of 3 organisations should be approached to provide quotes.</w:t>
      </w:r>
    </w:p>
    <w:p w:rsidR="00E05B8A" w:rsidRPr="000D0745" w:rsidRDefault="00E05B8A" w:rsidP="00C4534A">
      <w:pPr>
        <w:rPr>
          <w:sz w:val="24"/>
          <w:szCs w:val="24"/>
          <w:lang w:val="en-GB"/>
        </w:rPr>
      </w:pPr>
    </w:p>
    <w:p w:rsidR="00800C65" w:rsidRPr="000D0745" w:rsidRDefault="0019764D" w:rsidP="00C4534A">
      <w:pPr>
        <w:pStyle w:val="Heading2"/>
        <w:numPr>
          <w:ilvl w:val="2"/>
          <w:numId w:val="17"/>
        </w:numPr>
        <w:ind w:left="1276" w:hanging="709"/>
        <w:jc w:val="left"/>
        <w:rPr>
          <w:sz w:val="24"/>
          <w:szCs w:val="24"/>
          <w:lang w:val="en-GB"/>
        </w:rPr>
      </w:pPr>
      <w:bookmarkStart w:id="50" w:name="_Toc363823757"/>
      <w:bookmarkStart w:id="51" w:name="_Toc454455992"/>
      <w:r w:rsidRPr="000D0745">
        <w:rPr>
          <w:sz w:val="24"/>
          <w:szCs w:val="24"/>
          <w:lang w:val="en-GB"/>
        </w:rPr>
        <w:t xml:space="preserve">For expenditure </w:t>
      </w:r>
      <w:r w:rsidR="00DC2426">
        <w:rPr>
          <w:sz w:val="24"/>
          <w:szCs w:val="24"/>
          <w:lang w:val="en-GB"/>
        </w:rPr>
        <w:t>over</w:t>
      </w:r>
      <w:r w:rsidR="005F2DC3" w:rsidRPr="000D0745">
        <w:rPr>
          <w:sz w:val="24"/>
          <w:szCs w:val="24"/>
          <w:lang w:val="en-GB"/>
        </w:rPr>
        <w:t xml:space="preserve"> </w:t>
      </w:r>
      <w:r w:rsidR="00800C65" w:rsidRPr="000D0745">
        <w:rPr>
          <w:sz w:val="24"/>
          <w:szCs w:val="24"/>
          <w:lang w:val="en-GB"/>
        </w:rPr>
        <w:t>£50k</w:t>
      </w:r>
      <w:bookmarkEnd w:id="50"/>
      <w:bookmarkEnd w:id="51"/>
    </w:p>
    <w:p w:rsidR="006E0168" w:rsidRPr="000D0745" w:rsidRDefault="006E0168"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 xml:space="preserve">Some </w:t>
      </w:r>
      <w:r w:rsidR="00CF7C56">
        <w:rPr>
          <w:sz w:val="24"/>
          <w:szCs w:val="24"/>
          <w:lang w:val="en-GB"/>
        </w:rPr>
        <w:t>form of competitive process should</w:t>
      </w:r>
      <w:r w:rsidR="00E26507">
        <w:rPr>
          <w:sz w:val="24"/>
          <w:szCs w:val="24"/>
          <w:lang w:val="en-GB"/>
        </w:rPr>
        <w:t xml:space="preserve"> take place. This is likely to require</w:t>
      </w:r>
      <w:r w:rsidRPr="000D0745">
        <w:rPr>
          <w:sz w:val="24"/>
          <w:szCs w:val="24"/>
          <w:lang w:val="en-GB"/>
        </w:rPr>
        <w:t xml:space="preserve"> input from </w:t>
      </w:r>
      <w:proofErr w:type="spellStart"/>
      <w:r w:rsidR="001A57CE">
        <w:rPr>
          <w:sz w:val="24"/>
          <w:szCs w:val="24"/>
          <w:lang w:val="en-GB"/>
        </w:rPr>
        <w:t>SYPS</w:t>
      </w:r>
      <w:r w:rsidR="00E05B8A">
        <w:rPr>
          <w:sz w:val="24"/>
          <w:szCs w:val="24"/>
          <w:lang w:val="en-GB"/>
        </w:rPr>
        <w:t>and</w:t>
      </w:r>
      <w:proofErr w:type="spellEnd"/>
      <w:r w:rsidR="00E05B8A">
        <w:rPr>
          <w:sz w:val="24"/>
          <w:szCs w:val="24"/>
          <w:lang w:val="en-GB"/>
        </w:rPr>
        <w:t xml:space="preserve"> the budget holder should seek appropriate advice.</w:t>
      </w:r>
    </w:p>
    <w:p w:rsidR="00800C65" w:rsidRDefault="00800C65" w:rsidP="00C4534A">
      <w:pPr>
        <w:pStyle w:val="Heading2"/>
        <w:numPr>
          <w:ilvl w:val="0"/>
          <w:numId w:val="0"/>
        </w:numPr>
        <w:ind w:left="567"/>
        <w:jc w:val="left"/>
        <w:rPr>
          <w:rFonts w:eastAsia="Times New Roman"/>
          <w:b w:val="0"/>
          <w:bCs w:val="0"/>
          <w:kern w:val="0"/>
          <w:sz w:val="24"/>
          <w:szCs w:val="24"/>
          <w:lang w:val="en-GB" w:eastAsia="en-US"/>
        </w:rPr>
      </w:pPr>
    </w:p>
    <w:p w:rsidR="00CF7C56" w:rsidRDefault="00CF7C56" w:rsidP="00C4534A">
      <w:pPr>
        <w:ind w:left="567"/>
        <w:rPr>
          <w:sz w:val="24"/>
          <w:szCs w:val="24"/>
          <w:lang w:val="en-GB"/>
        </w:rPr>
      </w:pPr>
      <w:r w:rsidRPr="000D0745">
        <w:rPr>
          <w:sz w:val="24"/>
          <w:szCs w:val="24"/>
          <w:lang w:val="en-GB"/>
        </w:rPr>
        <w:t>If a competitive process is not going to be followed then a waiver form must be completed.</w:t>
      </w:r>
    </w:p>
    <w:p w:rsidR="00CF7C56" w:rsidRPr="00CF7C56" w:rsidRDefault="00CF7C56" w:rsidP="00C4534A">
      <w:pPr>
        <w:ind w:left="567"/>
        <w:rPr>
          <w:lang w:val="en-GB"/>
        </w:rPr>
      </w:pPr>
    </w:p>
    <w:p w:rsidR="00A719C0" w:rsidRDefault="00800C65" w:rsidP="00C4534A">
      <w:pPr>
        <w:ind w:left="567"/>
        <w:rPr>
          <w:sz w:val="24"/>
          <w:szCs w:val="24"/>
          <w:lang w:val="en-GB"/>
        </w:rPr>
      </w:pPr>
      <w:r w:rsidRPr="000D0745">
        <w:rPr>
          <w:sz w:val="24"/>
          <w:szCs w:val="24"/>
          <w:lang w:val="en-GB"/>
        </w:rPr>
        <w:lastRenderedPageBreak/>
        <w:t>A full com</w:t>
      </w:r>
      <w:r w:rsidR="00E26507">
        <w:rPr>
          <w:sz w:val="24"/>
          <w:szCs w:val="24"/>
          <w:lang w:val="en-GB"/>
        </w:rPr>
        <w:t xml:space="preserve">petitive process is expected to take place for services over £100k unless the Governing Body has determined that the service will not be subject to tender and </w:t>
      </w:r>
      <w:r w:rsidR="00393470">
        <w:rPr>
          <w:sz w:val="24"/>
          <w:szCs w:val="24"/>
          <w:lang w:val="en-GB"/>
        </w:rPr>
        <w:t xml:space="preserve">has </w:t>
      </w:r>
      <w:r w:rsidR="00E26507">
        <w:rPr>
          <w:sz w:val="24"/>
          <w:szCs w:val="24"/>
          <w:lang w:val="en-GB"/>
        </w:rPr>
        <w:t>set out the rational</w:t>
      </w:r>
      <w:r w:rsidR="00393470">
        <w:rPr>
          <w:sz w:val="24"/>
          <w:szCs w:val="24"/>
          <w:lang w:val="en-GB"/>
        </w:rPr>
        <w:t>e</w:t>
      </w:r>
      <w:r w:rsidR="00A719C0">
        <w:rPr>
          <w:sz w:val="24"/>
          <w:szCs w:val="24"/>
          <w:lang w:val="en-GB"/>
        </w:rPr>
        <w:t xml:space="preserve"> for its decision</w:t>
      </w:r>
      <w:r w:rsidRPr="000D0745">
        <w:rPr>
          <w:sz w:val="24"/>
          <w:szCs w:val="24"/>
          <w:lang w:val="en-GB"/>
        </w:rPr>
        <w:t xml:space="preserve">.  </w:t>
      </w:r>
    </w:p>
    <w:p w:rsidR="00A719C0" w:rsidRDefault="00A719C0" w:rsidP="00C4534A">
      <w:pPr>
        <w:ind w:left="567"/>
        <w:rPr>
          <w:sz w:val="24"/>
          <w:szCs w:val="24"/>
          <w:lang w:val="en-GB"/>
        </w:rPr>
      </w:pPr>
    </w:p>
    <w:p w:rsidR="007B7BAC" w:rsidRDefault="00800C65" w:rsidP="00C4534A">
      <w:pPr>
        <w:ind w:left="567"/>
        <w:rPr>
          <w:sz w:val="24"/>
          <w:szCs w:val="24"/>
          <w:lang w:val="en-GB"/>
        </w:rPr>
      </w:pPr>
      <w:r w:rsidRPr="000D0745">
        <w:rPr>
          <w:sz w:val="24"/>
          <w:szCs w:val="24"/>
          <w:lang w:val="en-GB"/>
        </w:rPr>
        <w:t>Where a full OJEU comp</w:t>
      </w:r>
      <w:r w:rsidR="00CF7C56">
        <w:rPr>
          <w:sz w:val="24"/>
          <w:szCs w:val="24"/>
          <w:lang w:val="en-GB"/>
        </w:rPr>
        <w:t>liant tender is required the procurement w</w:t>
      </w:r>
      <w:r w:rsidRPr="000D0745">
        <w:rPr>
          <w:sz w:val="24"/>
          <w:szCs w:val="24"/>
          <w:lang w:val="en-GB"/>
        </w:rPr>
        <w:t xml:space="preserve">ork-plan must be updated </w:t>
      </w:r>
      <w:r w:rsidR="00CF7C56">
        <w:rPr>
          <w:sz w:val="24"/>
          <w:szCs w:val="24"/>
          <w:lang w:val="en-GB"/>
        </w:rPr>
        <w:t xml:space="preserve">and </w:t>
      </w:r>
      <w:r w:rsidR="00393470">
        <w:rPr>
          <w:sz w:val="24"/>
          <w:szCs w:val="24"/>
          <w:lang w:val="en-GB"/>
        </w:rPr>
        <w:t xml:space="preserve">the </w:t>
      </w:r>
      <w:proofErr w:type="spellStart"/>
      <w:r w:rsidR="001A57CE">
        <w:rPr>
          <w:sz w:val="24"/>
          <w:szCs w:val="24"/>
          <w:lang w:val="en-GB"/>
        </w:rPr>
        <w:t>SYPS</w:t>
      </w:r>
      <w:r w:rsidR="00CF7C56">
        <w:rPr>
          <w:sz w:val="24"/>
          <w:szCs w:val="24"/>
          <w:lang w:val="en-GB"/>
        </w:rPr>
        <w:t>informed</w:t>
      </w:r>
      <w:proofErr w:type="spellEnd"/>
      <w:r w:rsidR="00CF7C56">
        <w:rPr>
          <w:sz w:val="24"/>
          <w:szCs w:val="24"/>
          <w:lang w:val="en-GB"/>
        </w:rPr>
        <w:t xml:space="preserve"> </w:t>
      </w:r>
      <w:r w:rsidRPr="000D0745">
        <w:rPr>
          <w:sz w:val="24"/>
          <w:szCs w:val="24"/>
          <w:lang w:val="en-GB"/>
        </w:rPr>
        <w:t xml:space="preserve">to enable capacity planning. Procurement requests should be routed through the </w:t>
      </w:r>
      <w:r w:rsidR="00393470">
        <w:rPr>
          <w:sz w:val="24"/>
          <w:szCs w:val="24"/>
          <w:lang w:val="en-GB"/>
        </w:rPr>
        <w:t>Head of Procurement.</w:t>
      </w:r>
    </w:p>
    <w:p w:rsidR="00393470" w:rsidRPr="000D0745" w:rsidRDefault="00393470" w:rsidP="00C4534A">
      <w:pPr>
        <w:ind w:left="567"/>
        <w:rPr>
          <w:sz w:val="24"/>
          <w:szCs w:val="24"/>
          <w:lang w:val="en-GB"/>
        </w:rPr>
      </w:pPr>
    </w:p>
    <w:p w:rsidR="00800C65" w:rsidRDefault="00800C65" w:rsidP="00C4534A">
      <w:pPr>
        <w:pStyle w:val="Heading2"/>
        <w:numPr>
          <w:ilvl w:val="2"/>
          <w:numId w:val="17"/>
        </w:numPr>
        <w:ind w:left="1276" w:hanging="709"/>
        <w:jc w:val="left"/>
        <w:rPr>
          <w:sz w:val="24"/>
          <w:szCs w:val="24"/>
          <w:lang w:val="en-GB"/>
        </w:rPr>
      </w:pPr>
      <w:bookmarkStart w:id="52" w:name="_Toc363823759"/>
      <w:bookmarkStart w:id="53" w:name="_Toc454455993"/>
      <w:r w:rsidRPr="000D0745">
        <w:rPr>
          <w:sz w:val="24"/>
          <w:szCs w:val="24"/>
          <w:lang w:val="en-GB"/>
        </w:rPr>
        <w:t xml:space="preserve">Tender/No Tender </w:t>
      </w:r>
      <w:r w:rsidR="006B76D2">
        <w:rPr>
          <w:sz w:val="24"/>
          <w:szCs w:val="24"/>
          <w:lang w:val="en-GB"/>
        </w:rPr>
        <w:t>P</w:t>
      </w:r>
      <w:r w:rsidRPr="000D0745">
        <w:rPr>
          <w:sz w:val="24"/>
          <w:szCs w:val="24"/>
          <w:lang w:val="en-GB"/>
        </w:rPr>
        <w:t>roforma</w:t>
      </w:r>
      <w:bookmarkEnd w:id="52"/>
      <w:bookmarkEnd w:id="53"/>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A </w:t>
      </w:r>
      <w:r w:rsidRPr="00E05B8A">
        <w:rPr>
          <w:bCs/>
          <w:sz w:val="24"/>
          <w:szCs w:val="24"/>
          <w:lang w:val="en-GB"/>
        </w:rPr>
        <w:t>proforma has been developed</w:t>
      </w:r>
      <w:r w:rsidRPr="000D0745">
        <w:rPr>
          <w:sz w:val="24"/>
          <w:szCs w:val="24"/>
          <w:lang w:val="en-GB"/>
        </w:rPr>
        <w:t xml:space="preserve"> to help budget holders and commissioners to decide if a contract opportunity should be tendered of not</w:t>
      </w:r>
      <w:r w:rsidR="00F96BD2" w:rsidRPr="000D0745">
        <w:rPr>
          <w:sz w:val="24"/>
          <w:szCs w:val="24"/>
          <w:lang w:val="en-GB"/>
        </w:rPr>
        <w:t xml:space="preserve"> and </w:t>
      </w:r>
      <w:r w:rsidR="001A57CE">
        <w:rPr>
          <w:sz w:val="24"/>
          <w:szCs w:val="24"/>
          <w:lang w:val="en-GB"/>
        </w:rPr>
        <w:t>S</w:t>
      </w:r>
      <w:r w:rsidR="00F96BD2" w:rsidRPr="000D0745">
        <w:rPr>
          <w:sz w:val="24"/>
          <w:szCs w:val="24"/>
          <w:lang w:val="en-GB"/>
        </w:rPr>
        <w:t xml:space="preserve">CCG </w:t>
      </w:r>
      <w:r w:rsidR="00D42EB6">
        <w:rPr>
          <w:sz w:val="24"/>
          <w:szCs w:val="24"/>
          <w:lang w:val="en-GB"/>
        </w:rPr>
        <w:t xml:space="preserve">staff </w:t>
      </w:r>
      <w:r w:rsidR="00F96BD2" w:rsidRPr="000D0745">
        <w:rPr>
          <w:sz w:val="24"/>
          <w:szCs w:val="24"/>
          <w:lang w:val="en-GB"/>
        </w:rPr>
        <w:t xml:space="preserve">should ensure they have the full understanding of </w:t>
      </w:r>
      <w:r w:rsidR="001A57CE">
        <w:rPr>
          <w:sz w:val="24"/>
          <w:szCs w:val="24"/>
          <w:lang w:val="en-GB"/>
        </w:rPr>
        <w:t>S</w:t>
      </w:r>
      <w:r w:rsidR="00F96BD2" w:rsidRPr="000D0745">
        <w:rPr>
          <w:sz w:val="24"/>
          <w:szCs w:val="24"/>
          <w:lang w:val="en-GB"/>
        </w:rPr>
        <w:t xml:space="preserve">CCG’s </w:t>
      </w:r>
      <w:r w:rsidR="00F96BD2" w:rsidRPr="000D0745">
        <w:rPr>
          <w:sz w:val="24"/>
          <w:szCs w:val="24"/>
        </w:rPr>
        <w:t>Policy for the Management of Competitive Tender  &amp; Quotation Exercises</w:t>
      </w:r>
      <w:r w:rsidRPr="000D0745">
        <w:rPr>
          <w:sz w:val="24"/>
          <w:szCs w:val="24"/>
          <w:lang w:val="en-GB"/>
        </w:rPr>
        <w:t>.  All ‘no tender’ decisions must be documented and should represent the decision of the organisation rather than an individual.</w:t>
      </w:r>
    </w:p>
    <w:p w:rsidR="00EE0949" w:rsidRPr="000D0745" w:rsidRDefault="00EE0949"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Advice should be sought from the </w:t>
      </w:r>
      <w:proofErr w:type="spellStart"/>
      <w:r w:rsidR="001A57CE">
        <w:rPr>
          <w:sz w:val="24"/>
          <w:szCs w:val="24"/>
          <w:lang w:val="en-GB"/>
        </w:rPr>
        <w:t>SYPS</w:t>
      </w:r>
      <w:r w:rsidRPr="000D0745">
        <w:rPr>
          <w:sz w:val="24"/>
          <w:szCs w:val="24"/>
          <w:lang w:val="en-GB"/>
        </w:rPr>
        <w:t>if</w:t>
      </w:r>
      <w:proofErr w:type="spellEnd"/>
      <w:r w:rsidRPr="000D0745">
        <w:rPr>
          <w:sz w:val="24"/>
          <w:szCs w:val="24"/>
          <w:lang w:val="en-GB"/>
        </w:rPr>
        <w:t xml:space="preserve"> there is any doubt as to whether a tender should be conducted</w:t>
      </w:r>
      <w:r w:rsidR="00D42EB6">
        <w:rPr>
          <w:sz w:val="24"/>
          <w:szCs w:val="24"/>
          <w:lang w:val="en-GB"/>
        </w:rPr>
        <w:t>.</w:t>
      </w:r>
    </w:p>
    <w:p w:rsidR="00800C65" w:rsidRPr="000D0745" w:rsidRDefault="00800C65" w:rsidP="00C4534A">
      <w:pPr>
        <w:rPr>
          <w:sz w:val="24"/>
          <w:szCs w:val="24"/>
          <w:lang w:val="en-GB"/>
        </w:rPr>
      </w:pPr>
    </w:p>
    <w:p w:rsidR="00800C65" w:rsidRDefault="00A719C0" w:rsidP="00C4534A">
      <w:pPr>
        <w:pStyle w:val="Heading1"/>
        <w:numPr>
          <w:ilvl w:val="1"/>
          <w:numId w:val="17"/>
        </w:numPr>
        <w:ind w:left="567" w:hanging="567"/>
        <w:rPr>
          <w:rFonts w:eastAsia="Arial"/>
          <w:sz w:val="24"/>
          <w:szCs w:val="24"/>
        </w:rPr>
      </w:pPr>
      <w:bookmarkStart w:id="54" w:name="_Toc454455994"/>
      <w:r>
        <w:rPr>
          <w:rFonts w:eastAsia="Arial"/>
          <w:sz w:val="24"/>
          <w:szCs w:val="24"/>
        </w:rPr>
        <w:t>Awarding of contracts</w:t>
      </w:r>
      <w:bookmarkEnd w:id="54"/>
    </w:p>
    <w:p w:rsidR="00800C65" w:rsidRPr="000D0745" w:rsidRDefault="00800C65" w:rsidP="00C4534A">
      <w:pPr>
        <w:rPr>
          <w:sz w:val="24"/>
          <w:szCs w:val="24"/>
          <w:lang w:val="en-GB"/>
        </w:rPr>
      </w:pPr>
    </w:p>
    <w:p w:rsidR="003C7C0B" w:rsidRPr="000D0745" w:rsidRDefault="00A719C0" w:rsidP="00C4534A">
      <w:pPr>
        <w:ind w:left="567"/>
        <w:rPr>
          <w:sz w:val="24"/>
          <w:szCs w:val="24"/>
          <w:lang w:val="en-GB"/>
        </w:rPr>
      </w:pPr>
      <w:r>
        <w:rPr>
          <w:sz w:val="24"/>
          <w:szCs w:val="24"/>
          <w:lang w:val="en-GB"/>
        </w:rPr>
        <w:t>T</w:t>
      </w:r>
      <w:r w:rsidR="003C7C0B" w:rsidRPr="00CF7C56">
        <w:rPr>
          <w:sz w:val="24"/>
          <w:szCs w:val="24"/>
          <w:lang w:val="en-GB"/>
        </w:rPr>
        <w:t>he Governing Body may choose</w:t>
      </w:r>
      <w:r w:rsidR="003A3532">
        <w:rPr>
          <w:sz w:val="24"/>
          <w:szCs w:val="24"/>
          <w:lang w:val="en-GB"/>
        </w:rPr>
        <w:t>,</w:t>
      </w:r>
      <w:r w:rsidR="003C7C0B" w:rsidRPr="00CF7C56">
        <w:rPr>
          <w:sz w:val="24"/>
          <w:szCs w:val="24"/>
          <w:lang w:val="en-GB"/>
        </w:rPr>
        <w:t xml:space="preserve"> depending on the nature and value of the procurement</w:t>
      </w:r>
      <w:r w:rsidR="003A3532">
        <w:rPr>
          <w:sz w:val="24"/>
          <w:szCs w:val="24"/>
          <w:lang w:val="en-GB"/>
        </w:rPr>
        <w:t>,</w:t>
      </w:r>
      <w:r w:rsidR="003C7C0B" w:rsidRPr="00CF7C56">
        <w:rPr>
          <w:sz w:val="24"/>
          <w:szCs w:val="24"/>
          <w:lang w:val="en-GB"/>
        </w:rPr>
        <w:t xml:space="preserve"> to delegate sign</w:t>
      </w:r>
      <w:r>
        <w:rPr>
          <w:sz w:val="24"/>
          <w:szCs w:val="24"/>
          <w:lang w:val="en-GB"/>
        </w:rPr>
        <w:t xml:space="preserve"> off to the Accountable Officer or Chief Finance Officer</w:t>
      </w:r>
      <w:r w:rsidR="00AD03B7">
        <w:rPr>
          <w:sz w:val="24"/>
          <w:szCs w:val="24"/>
          <w:lang w:val="en-GB"/>
        </w:rPr>
        <w:t xml:space="preserve"> in accordance with the CCG constitution in accordance with the budget scheme of delegation</w:t>
      </w:r>
      <w:r w:rsidR="003C7C0B" w:rsidRPr="00CF7C56">
        <w:rPr>
          <w:sz w:val="24"/>
          <w:szCs w:val="24"/>
          <w:lang w:val="en-GB"/>
        </w:rPr>
        <w:t>. If this process is not agreed for an individual procurement</w:t>
      </w:r>
      <w:r w:rsidR="00553E77">
        <w:rPr>
          <w:sz w:val="24"/>
          <w:szCs w:val="24"/>
          <w:lang w:val="en-GB"/>
        </w:rPr>
        <w:t>,</w:t>
      </w:r>
      <w:r w:rsidR="003C7C0B" w:rsidRPr="00CF7C56">
        <w:rPr>
          <w:sz w:val="24"/>
          <w:szCs w:val="24"/>
          <w:lang w:val="en-GB"/>
        </w:rPr>
        <w:t xml:space="preserve"> the CCG Governing Body should be consulted on the outcome of a process and receive a recommendation for contract award before the CCG </w:t>
      </w:r>
      <w:r w:rsidR="005A0E2C">
        <w:rPr>
          <w:sz w:val="24"/>
          <w:szCs w:val="24"/>
          <w:lang w:val="en-GB"/>
        </w:rPr>
        <w:t xml:space="preserve">can </w:t>
      </w:r>
      <w:r w:rsidR="003C7C0B" w:rsidRPr="00CF7C56">
        <w:rPr>
          <w:sz w:val="24"/>
          <w:szCs w:val="24"/>
          <w:lang w:val="en-GB"/>
        </w:rPr>
        <w:t xml:space="preserve">make an award of contract. </w:t>
      </w:r>
      <w:r w:rsidR="00AF3611" w:rsidRPr="00CF7C56">
        <w:rPr>
          <w:sz w:val="24"/>
          <w:szCs w:val="24"/>
          <w:lang w:val="en-GB"/>
        </w:rPr>
        <w:t xml:space="preserve"> </w:t>
      </w:r>
    </w:p>
    <w:p w:rsidR="00800C65" w:rsidRPr="000D0745" w:rsidRDefault="00800C65" w:rsidP="00C4534A">
      <w:pPr>
        <w:rPr>
          <w:sz w:val="24"/>
          <w:szCs w:val="24"/>
          <w:lang w:val="en-GB"/>
        </w:rPr>
      </w:pPr>
    </w:p>
    <w:p w:rsidR="00C00153" w:rsidRPr="000D0745" w:rsidRDefault="00C00153" w:rsidP="00C4534A">
      <w:pPr>
        <w:pStyle w:val="Heading1"/>
        <w:numPr>
          <w:ilvl w:val="1"/>
          <w:numId w:val="18"/>
        </w:numPr>
        <w:ind w:left="567" w:hanging="567"/>
        <w:rPr>
          <w:rFonts w:eastAsia="Arial"/>
          <w:sz w:val="24"/>
          <w:szCs w:val="24"/>
        </w:rPr>
      </w:pPr>
      <w:bookmarkStart w:id="55" w:name="_Toc363823761"/>
      <w:bookmarkStart w:id="56" w:name="_Toc454455995"/>
      <w:r w:rsidRPr="000D0745">
        <w:rPr>
          <w:rFonts w:eastAsia="Arial"/>
          <w:sz w:val="24"/>
          <w:szCs w:val="24"/>
        </w:rPr>
        <w:t>Avoidance</w:t>
      </w:r>
      <w:bookmarkEnd w:id="55"/>
      <w:r w:rsidR="00D41D69" w:rsidRPr="000D0745">
        <w:rPr>
          <w:rFonts w:eastAsia="Arial"/>
          <w:sz w:val="24"/>
          <w:szCs w:val="24"/>
        </w:rPr>
        <w:t xml:space="preserve"> of procurement rules</w:t>
      </w:r>
      <w:bookmarkEnd w:id="56"/>
      <w:r w:rsidR="00D41D69" w:rsidRPr="000D0745">
        <w:rPr>
          <w:rFonts w:eastAsia="Arial"/>
          <w:sz w:val="24"/>
          <w:szCs w:val="24"/>
        </w:rPr>
        <w:t xml:space="preserve"> </w:t>
      </w:r>
    </w:p>
    <w:p w:rsidR="00C00153" w:rsidRPr="000D0745" w:rsidRDefault="00C00153" w:rsidP="00C4534A">
      <w:pPr>
        <w:rPr>
          <w:sz w:val="24"/>
          <w:szCs w:val="24"/>
          <w:lang w:val="en-GB"/>
        </w:rPr>
      </w:pPr>
    </w:p>
    <w:p w:rsidR="00C00153" w:rsidRPr="000D0745" w:rsidRDefault="00C00153" w:rsidP="00C4534A">
      <w:pPr>
        <w:ind w:left="567"/>
        <w:rPr>
          <w:sz w:val="24"/>
          <w:szCs w:val="24"/>
          <w:lang w:val="en-GB"/>
        </w:rPr>
      </w:pPr>
      <w:r w:rsidRPr="000D0745">
        <w:rPr>
          <w:sz w:val="24"/>
          <w:szCs w:val="24"/>
          <w:lang w:val="en-GB"/>
        </w:rPr>
        <w:t>The UK courts take a strict line when they perceive that public contracts have been awarded without taking the necessary steps to ensure competition rules have been adhered to. Commissioners should be aware of several forms of avoidance that have been commonplace within the NHS:</w:t>
      </w:r>
    </w:p>
    <w:p w:rsidR="00C00153" w:rsidRPr="000D0745" w:rsidRDefault="00C00153" w:rsidP="00C4534A">
      <w:pPr>
        <w:rPr>
          <w:sz w:val="24"/>
          <w:szCs w:val="24"/>
          <w:lang w:val="en-GB"/>
        </w:rPr>
      </w:pPr>
    </w:p>
    <w:p w:rsidR="00C00153" w:rsidRDefault="00C00153" w:rsidP="00C4534A">
      <w:pPr>
        <w:numPr>
          <w:ilvl w:val="0"/>
          <w:numId w:val="5"/>
        </w:numPr>
        <w:ind w:left="993" w:hanging="426"/>
        <w:rPr>
          <w:sz w:val="24"/>
          <w:szCs w:val="24"/>
          <w:lang w:val="en-GB"/>
        </w:rPr>
      </w:pPr>
      <w:bookmarkStart w:id="57" w:name="_Ref401838618"/>
      <w:r w:rsidRPr="000D0745">
        <w:rPr>
          <w:sz w:val="24"/>
          <w:szCs w:val="24"/>
          <w:lang w:val="en-GB"/>
        </w:rPr>
        <w:t xml:space="preserve">Pilot Projects – Awarding a contract through the guise of a ‘pilot project’ without following the correct procedure (as described below in </w:t>
      </w:r>
      <w:r w:rsidR="003A3532">
        <w:rPr>
          <w:sz w:val="24"/>
          <w:szCs w:val="24"/>
          <w:lang w:val="en-GB"/>
        </w:rPr>
        <w:fldChar w:fldCharType="begin"/>
      </w:r>
      <w:r w:rsidR="003A3532">
        <w:rPr>
          <w:sz w:val="24"/>
          <w:szCs w:val="24"/>
          <w:lang w:val="en-GB"/>
        </w:rPr>
        <w:instrText xml:space="preserve"> REF _Ref401838661 \h </w:instrText>
      </w:r>
      <w:r w:rsidR="006B76D2">
        <w:rPr>
          <w:sz w:val="24"/>
          <w:szCs w:val="24"/>
          <w:lang w:val="en-GB"/>
        </w:rPr>
        <w:instrText xml:space="preserve"> \* MERGEFORMAT </w:instrText>
      </w:r>
      <w:r w:rsidR="003A3532">
        <w:rPr>
          <w:sz w:val="24"/>
          <w:szCs w:val="24"/>
          <w:lang w:val="en-GB"/>
        </w:rPr>
      </w:r>
      <w:r w:rsidR="003A3532">
        <w:rPr>
          <w:sz w:val="24"/>
          <w:szCs w:val="24"/>
          <w:lang w:val="en-GB"/>
        </w:rPr>
        <w:fldChar w:fldCharType="separate"/>
      </w:r>
      <w:r w:rsidR="00380CE8" w:rsidRPr="000D0745">
        <w:rPr>
          <w:rFonts w:eastAsia="Arial"/>
          <w:sz w:val="24"/>
          <w:szCs w:val="24"/>
        </w:rPr>
        <w:t>Pilot Projects</w:t>
      </w:r>
      <w:r w:rsidR="003A3532">
        <w:rPr>
          <w:sz w:val="24"/>
          <w:szCs w:val="24"/>
          <w:lang w:val="en-GB"/>
        </w:rPr>
        <w:fldChar w:fldCharType="end"/>
      </w:r>
      <w:r w:rsidR="005A0E2C">
        <w:rPr>
          <w:sz w:val="24"/>
          <w:szCs w:val="24"/>
          <w:lang w:val="en-GB"/>
        </w:rPr>
        <w:t xml:space="preserve"> </w:t>
      </w:r>
      <w:r w:rsidR="003A3532">
        <w:rPr>
          <w:sz w:val="24"/>
          <w:szCs w:val="24"/>
          <w:lang w:val="en-GB"/>
        </w:rPr>
        <w:fldChar w:fldCharType="begin"/>
      </w:r>
      <w:r w:rsidR="003A3532">
        <w:rPr>
          <w:sz w:val="24"/>
          <w:szCs w:val="24"/>
          <w:lang w:val="en-GB"/>
        </w:rPr>
        <w:instrText xml:space="preserve"> REF _Ref401838672 \r \h </w:instrText>
      </w:r>
      <w:r w:rsidR="006B76D2">
        <w:rPr>
          <w:sz w:val="24"/>
          <w:szCs w:val="24"/>
          <w:lang w:val="en-GB"/>
        </w:rPr>
        <w:instrText xml:space="preserve"> \* MERGEFORMAT </w:instrText>
      </w:r>
      <w:r w:rsidR="003A3532">
        <w:rPr>
          <w:sz w:val="24"/>
          <w:szCs w:val="24"/>
          <w:lang w:val="en-GB"/>
        </w:rPr>
      </w:r>
      <w:r w:rsidR="003A3532">
        <w:rPr>
          <w:sz w:val="24"/>
          <w:szCs w:val="24"/>
          <w:lang w:val="en-GB"/>
        </w:rPr>
        <w:fldChar w:fldCharType="separate"/>
      </w:r>
      <w:r w:rsidR="00380CE8">
        <w:rPr>
          <w:sz w:val="24"/>
          <w:szCs w:val="24"/>
          <w:lang w:val="en-GB"/>
        </w:rPr>
        <w:t>2.23</w:t>
      </w:r>
      <w:r w:rsidR="003A3532">
        <w:rPr>
          <w:sz w:val="24"/>
          <w:szCs w:val="24"/>
          <w:lang w:val="en-GB"/>
        </w:rPr>
        <w:fldChar w:fldCharType="end"/>
      </w:r>
      <w:r w:rsidRPr="000D0745">
        <w:rPr>
          <w:sz w:val="24"/>
          <w:szCs w:val="24"/>
          <w:lang w:val="en-GB"/>
        </w:rPr>
        <w:t>):</w:t>
      </w:r>
      <w:bookmarkEnd w:id="57"/>
    </w:p>
    <w:p w:rsidR="001913AA" w:rsidRPr="000D0745" w:rsidRDefault="001913AA" w:rsidP="001913AA">
      <w:pPr>
        <w:ind w:left="993"/>
        <w:rPr>
          <w:sz w:val="24"/>
          <w:szCs w:val="24"/>
          <w:lang w:val="en-GB"/>
        </w:rPr>
      </w:pPr>
    </w:p>
    <w:p w:rsidR="00C00153" w:rsidRPr="000D0745" w:rsidRDefault="00C00153" w:rsidP="00C4534A">
      <w:pPr>
        <w:numPr>
          <w:ilvl w:val="1"/>
          <w:numId w:val="5"/>
        </w:numPr>
        <w:ind w:hanging="447"/>
        <w:rPr>
          <w:sz w:val="24"/>
          <w:szCs w:val="24"/>
          <w:lang w:val="en-GB"/>
        </w:rPr>
      </w:pPr>
      <w:r w:rsidRPr="000D0745">
        <w:rPr>
          <w:sz w:val="24"/>
          <w:szCs w:val="24"/>
          <w:lang w:val="en-GB"/>
        </w:rPr>
        <w:t xml:space="preserve">Pilot Projects have been awarded as a stop-gap measure when the commissioner has no intention </w:t>
      </w:r>
      <w:r w:rsidR="00FA5BBE">
        <w:rPr>
          <w:sz w:val="24"/>
          <w:szCs w:val="24"/>
          <w:lang w:val="en-GB"/>
        </w:rPr>
        <w:t>to undertake</w:t>
      </w:r>
      <w:r w:rsidRPr="000D0745">
        <w:rPr>
          <w:sz w:val="24"/>
          <w:szCs w:val="24"/>
          <w:lang w:val="en-GB"/>
        </w:rPr>
        <w:t xml:space="preserve"> a competitive process in the future. These contracts are oft</w:t>
      </w:r>
      <w:r w:rsidR="006B76D2">
        <w:rPr>
          <w:sz w:val="24"/>
          <w:szCs w:val="24"/>
          <w:lang w:val="en-GB"/>
        </w:rPr>
        <w:t>en extended</w:t>
      </w:r>
      <w:r w:rsidR="00FA5BBE">
        <w:rPr>
          <w:sz w:val="24"/>
          <w:szCs w:val="24"/>
          <w:lang w:val="en-GB"/>
        </w:rPr>
        <w:t xml:space="preserve"> without competition, </w:t>
      </w:r>
      <w:r w:rsidR="006B76D2">
        <w:rPr>
          <w:sz w:val="24"/>
          <w:szCs w:val="24"/>
          <w:lang w:val="en-GB"/>
        </w:rPr>
        <w:t>and</w:t>
      </w:r>
      <w:r w:rsidR="00FA5BBE">
        <w:rPr>
          <w:sz w:val="24"/>
          <w:szCs w:val="24"/>
          <w:lang w:val="en-GB"/>
        </w:rPr>
        <w:t>;</w:t>
      </w:r>
    </w:p>
    <w:p w:rsidR="00C00153" w:rsidRDefault="00C00153" w:rsidP="00C4534A">
      <w:pPr>
        <w:numPr>
          <w:ilvl w:val="1"/>
          <w:numId w:val="5"/>
        </w:numPr>
        <w:ind w:hanging="447"/>
        <w:rPr>
          <w:sz w:val="24"/>
          <w:szCs w:val="24"/>
          <w:lang w:val="en-GB"/>
        </w:rPr>
      </w:pPr>
      <w:r w:rsidRPr="000D0745">
        <w:rPr>
          <w:sz w:val="24"/>
          <w:szCs w:val="24"/>
          <w:lang w:val="en-GB"/>
        </w:rPr>
        <w:t xml:space="preserve">Projects have been labelled as a pilot when the previous contract lapses and </w:t>
      </w:r>
      <w:r w:rsidR="006B76D2" w:rsidRPr="000D0745">
        <w:rPr>
          <w:sz w:val="24"/>
          <w:szCs w:val="24"/>
          <w:lang w:val="en-GB"/>
        </w:rPr>
        <w:t>procurement</w:t>
      </w:r>
      <w:r w:rsidRPr="000D0745">
        <w:rPr>
          <w:sz w:val="24"/>
          <w:szCs w:val="24"/>
          <w:lang w:val="en-GB"/>
        </w:rPr>
        <w:t xml:space="preserve"> has</w:t>
      </w:r>
      <w:r w:rsidR="00FA5BBE">
        <w:rPr>
          <w:sz w:val="24"/>
          <w:szCs w:val="24"/>
          <w:lang w:val="en-GB"/>
        </w:rPr>
        <w:t xml:space="preserve"> no</w:t>
      </w:r>
      <w:r w:rsidRPr="000D0745">
        <w:rPr>
          <w:sz w:val="24"/>
          <w:szCs w:val="24"/>
          <w:lang w:val="en-GB"/>
        </w:rPr>
        <w:t>t taken place</w:t>
      </w:r>
      <w:r w:rsidR="006B76D2">
        <w:rPr>
          <w:sz w:val="24"/>
          <w:szCs w:val="24"/>
          <w:lang w:val="en-GB"/>
        </w:rPr>
        <w:t>.</w:t>
      </w:r>
    </w:p>
    <w:p w:rsidR="0015368D" w:rsidRPr="000D0745" w:rsidRDefault="0015368D" w:rsidP="00C4534A">
      <w:pPr>
        <w:ind w:left="1080"/>
        <w:rPr>
          <w:sz w:val="24"/>
          <w:szCs w:val="24"/>
          <w:lang w:val="en-GB"/>
        </w:rPr>
      </w:pPr>
    </w:p>
    <w:p w:rsidR="00C00153" w:rsidRDefault="00C00153" w:rsidP="00C4534A">
      <w:pPr>
        <w:numPr>
          <w:ilvl w:val="0"/>
          <w:numId w:val="5"/>
        </w:numPr>
        <w:ind w:left="993" w:hanging="426"/>
        <w:rPr>
          <w:sz w:val="24"/>
          <w:szCs w:val="24"/>
          <w:lang w:val="en-GB"/>
        </w:rPr>
      </w:pPr>
      <w:r w:rsidRPr="000D0745">
        <w:rPr>
          <w:sz w:val="24"/>
          <w:szCs w:val="24"/>
          <w:lang w:val="en-GB"/>
        </w:rPr>
        <w:lastRenderedPageBreak/>
        <w:t>Contract lengths are reduced (i.e. a 3 year contract is awarded as a 1 year contract) to artificially alter the contract value to avoid the compulsory OJEU thresholds</w:t>
      </w:r>
      <w:r w:rsidRPr="00EE69D1">
        <w:rPr>
          <w:rStyle w:val="FootnoteReference"/>
          <w:sz w:val="20"/>
          <w:lang w:val="en-GB"/>
        </w:rPr>
        <w:footnoteReference w:id="11"/>
      </w:r>
      <w:r w:rsidR="00FA5BBE">
        <w:rPr>
          <w:sz w:val="24"/>
          <w:szCs w:val="24"/>
          <w:lang w:val="en-GB"/>
        </w:rPr>
        <w:t>,</w:t>
      </w:r>
      <w:r w:rsidR="006B76D2">
        <w:rPr>
          <w:sz w:val="24"/>
          <w:szCs w:val="24"/>
          <w:lang w:val="en-GB"/>
        </w:rPr>
        <w:t>and</w:t>
      </w:r>
      <w:r w:rsidR="00FA5BBE">
        <w:rPr>
          <w:sz w:val="24"/>
          <w:szCs w:val="24"/>
          <w:lang w:val="en-GB"/>
        </w:rPr>
        <w:t>;</w:t>
      </w:r>
    </w:p>
    <w:p w:rsidR="0015368D" w:rsidRPr="000D0745" w:rsidRDefault="0015368D" w:rsidP="00C4534A">
      <w:pPr>
        <w:ind w:left="993" w:hanging="426"/>
        <w:rPr>
          <w:sz w:val="24"/>
          <w:szCs w:val="24"/>
          <w:lang w:val="en-GB"/>
        </w:rPr>
      </w:pPr>
    </w:p>
    <w:p w:rsidR="00C00153" w:rsidRPr="000D0745" w:rsidRDefault="00C00153" w:rsidP="00C4534A">
      <w:pPr>
        <w:numPr>
          <w:ilvl w:val="0"/>
          <w:numId w:val="5"/>
        </w:numPr>
        <w:ind w:left="993" w:hanging="426"/>
        <w:rPr>
          <w:sz w:val="24"/>
          <w:szCs w:val="24"/>
          <w:lang w:val="en-GB"/>
        </w:rPr>
      </w:pPr>
      <w:r w:rsidRPr="000D0745">
        <w:rPr>
          <w:sz w:val="24"/>
          <w:szCs w:val="24"/>
          <w:lang w:val="en-GB"/>
        </w:rPr>
        <w:t>Using negotiation with existing providers as a mechanism to improve services when the contract lapses (for clarification, negotiation is a viable method within the contract term but should</w:t>
      </w:r>
      <w:r w:rsidR="00FA5BBE">
        <w:rPr>
          <w:sz w:val="24"/>
          <w:szCs w:val="24"/>
          <w:lang w:val="en-GB"/>
        </w:rPr>
        <w:t xml:space="preserve"> no</w:t>
      </w:r>
      <w:r w:rsidRPr="000D0745">
        <w:rPr>
          <w:sz w:val="24"/>
          <w:szCs w:val="24"/>
          <w:lang w:val="en-GB"/>
        </w:rPr>
        <w:t>t be u</w:t>
      </w:r>
      <w:r w:rsidR="006B76D2">
        <w:rPr>
          <w:sz w:val="24"/>
          <w:szCs w:val="24"/>
          <w:lang w:val="en-GB"/>
        </w:rPr>
        <w:t>sed to</w:t>
      </w:r>
      <w:r w:rsidR="009B75AC">
        <w:rPr>
          <w:sz w:val="24"/>
          <w:szCs w:val="24"/>
          <w:lang w:val="en-GB"/>
        </w:rPr>
        <w:t xml:space="preserve"> renew or </w:t>
      </w:r>
      <w:r w:rsidR="006B76D2">
        <w:rPr>
          <w:sz w:val="24"/>
          <w:szCs w:val="24"/>
          <w:lang w:val="en-GB"/>
        </w:rPr>
        <w:t>extend a contract).</w:t>
      </w:r>
    </w:p>
    <w:p w:rsidR="00C00153" w:rsidRPr="000D0745" w:rsidRDefault="00C00153" w:rsidP="00C4534A">
      <w:pPr>
        <w:rPr>
          <w:sz w:val="24"/>
          <w:szCs w:val="24"/>
          <w:lang w:val="en-GB"/>
        </w:rPr>
      </w:pPr>
    </w:p>
    <w:p w:rsidR="00C00153" w:rsidRPr="000D0745" w:rsidRDefault="00C00153" w:rsidP="00C4534A">
      <w:pPr>
        <w:ind w:left="567"/>
        <w:rPr>
          <w:sz w:val="24"/>
          <w:szCs w:val="24"/>
          <w:lang w:val="en-GB"/>
        </w:rPr>
      </w:pPr>
      <w:r w:rsidRPr="000D0745">
        <w:rPr>
          <w:sz w:val="24"/>
          <w:szCs w:val="24"/>
          <w:lang w:val="en-GB"/>
        </w:rPr>
        <w:t>The UK courts have the authority to award damages to providers who have been unfairly excluded from the market through the use of such tactics</w:t>
      </w:r>
      <w:r w:rsidR="003A3532">
        <w:rPr>
          <w:sz w:val="24"/>
          <w:szCs w:val="24"/>
          <w:lang w:val="en-GB"/>
        </w:rPr>
        <w:t>, depending on the circumstances</w:t>
      </w:r>
      <w:r w:rsidRPr="000D0745">
        <w:rPr>
          <w:sz w:val="24"/>
          <w:szCs w:val="24"/>
          <w:lang w:val="en-GB"/>
        </w:rPr>
        <w:t>.</w:t>
      </w:r>
    </w:p>
    <w:p w:rsidR="00C00153" w:rsidRPr="000D0745" w:rsidRDefault="00C00153" w:rsidP="00C4534A">
      <w:pPr>
        <w:rPr>
          <w:sz w:val="24"/>
          <w:szCs w:val="24"/>
          <w:lang w:val="en-GB"/>
        </w:rPr>
      </w:pPr>
    </w:p>
    <w:p w:rsidR="00286A5C" w:rsidRPr="000D0745" w:rsidRDefault="00286A5C" w:rsidP="00C4534A">
      <w:pPr>
        <w:pStyle w:val="Heading1"/>
        <w:numPr>
          <w:ilvl w:val="1"/>
          <w:numId w:val="19"/>
        </w:numPr>
        <w:ind w:left="567" w:hanging="567"/>
        <w:rPr>
          <w:rFonts w:eastAsia="Arial"/>
          <w:sz w:val="24"/>
          <w:szCs w:val="24"/>
        </w:rPr>
      </w:pPr>
      <w:bookmarkStart w:id="58" w:name="_Toc363823762"/>
      <w:bookmarkStart w:id="59" w:name="_Toc454455996"/>
      <w:r w:rsidRPr="000D0745">
        <w:rPr>
          <w:rFonts w:eastAsia="Arial"/>
          <w:sz w:val="24"/>
          <w:szCs w:val="24"/>
        </w:rPr>
        <w:t>Document Hierarchy</w:t>
      </w:r>
      <w:bookmarkEnd w:id="58"/>
      <w:bookmarkEnd w:id="59"/>
    </w:p>
    <w:p w:rsidR="00286A5C" w:rsidRPr="000D0745" w:rsidRDefault="00286A5C" w:rsidP="00C4534A">
      <w:pPr>
        <w:rPr>
          <w:rFonts w:eastAsia="Arial"/>
          <w:sz w:val="24"/>
          <w:szCs w:val="24"/>
          <w:lang w:val="en-GB"/>
        </w:rPr>
      </w:pPr>
    </w:p>
    <w:p w:rsidR="00286A5C" w:rsidRDefault="001A57CE" w:rsidP="00C4534A">
      <w:pPr>
        <w:ind w:left="567"/>
        <w:rPr>
          <w:rFonts w:eastAsia="Arial"/>
          <w:sz w:val="24"/>
          <w:szCs w:val="24"/>
          <w:lang w:val="en-GB"/>
        </w:rPr>
      </w:pPr>
      <w:r>
        <w:rPr>
          <w:rFonts w:eastAsia="Arial"/>
          <w:sz w:val="24"/>
          <w:szCs w:val="24"/>
          <w:lang w:val="en-GB"/>
        </w:rPr>
        <w:t>S</w:t>
      </w:r>
      <w:r w:rsidR="00286A5C" w:rsidRPr="000D0745">
        <w:rPr>
          <w:rFonts w:eastAsia="Arial"/>
          <w:sz w:val="24"/>
          <w:szCs w:val="24"/>
          <w:lang w:val="en-GB"/>
        </w:rPr>
        <w:t>CCG recognises that there is the potential for conflict between local, regional, national and European legislation within the UK healthcare system.  The CCG will ensure that the processes it adopts comply with judicial legisl</w:t>
      </w:r>
      <w:r w:rsidR="002E532F" w:rsidRPr="000D0745">
        <w:rPr>
          <w:rFonts w:eastAsia="Arial"/>
          <w:sz w:val="24"/>
          <w:szCs w:val="24"/>
          <w:lang w:val="en-GB"/>
        </w:rPr>
        <w:t>ation in accordance with the mos</w:t>
      </w:r>
      <w:r w:rsidR="00286A5C" w:rsidRPr="000D0745">
        <w:rPr>
          <w:rFonts w:eastAsia="Arial"/>
          <w:sz w:val="24"/>
          <w:szCs w:val="24"/>
          <w:lang w:val="en-GB"/>
        </w:rPr>
        <w:t>t up to date policies, guidance and procedures.</w:t>
      </w:r>
    </w:p>
    <w:p w:rsidR="00800C65" w:rsidRPr="000D0745" w:rsidRDefault="00800C65" w:rsidP="00C4534A">
      <w:pPr>
        <w:rPr>
          <w:sz w:val="24"/>
          <w:szCs w:val="24"/>
          <w:lang w:val="en-GB"/>
        </w:rPr>
      </w:pPr>
    </w:p>
    <w:p w:rsidR="009D3E34" w:rsidRPr="000D0745" w:rsidRDefault="009D3E34" w:rsidP="00C4534A">
      <w:pPr>
        <w:pStyle w:val="Heading1"/>
        <w:numPr>
          <w:ilvl w:val="1"/>
          <w:numId w:val="19"/>
        </w:numPr>
        <w:ind w:left="567" w:hanging="567"/>
        <w:rPr>
          <w:rFonts w:eastAsia="Arial"/>
          <w:sz w:val="24"/>
          <w:szCs w:val="24"/>
        </w:rPr>
      </w:pPr>
      <w:bookmarkStart w:id="60" w:name="_Toc363823764"/>
      <w:bookmarkStart w:id="61" w:name="_Toc454455997"/>
      <w:r w:rsidRPr="000D0745">
        <w:rPr>
          <w:rFonts w:eastAsia="Arial"/>
          <w:sz w:val="24"/>
          <w:szCs w:val="24"/>
        </w:rPr>
        <w:t>Most Economically Advantageous Tender (MEAT)</w:t>
      </w:r>
      <w:bookmarkEnd w:id="60"/>
      <w:bookmarkEnd w:id="61"/>
    </w:p>
    <w:p w:rsidR="009D3E34" w:rsidRPr="000D0745" w:rsidRDefault="009D3E34" w:rsidP="00C4534A">
      <w:pPr>
        <w:rPr>
          <w:rFonts w:eastAsia="Arial"/>
          <w:sz w:val="24"/>
          <w:szCs w:val="24"/>
          <w:lang w:val="en-GB"/>
        </w:rPr>
      </w:pPr>
    </w:p>
    <w:p w:rsidR="009D3E34" w:rsidRPr="000D0745" w:rsidRDefault="002E532F" w:rsidP="00C4534A">
      <w:pPr>
        <w:ind w:left="567"/>
        <w:rPr>
          <w:sz w:val="24"/>
          <w:szCs w:val="24"/>
          <w:lang w:val="en-GB" w:eastAsia="en-GB"/>
        </w:rPr>
      </w:pPr>
      <w:r w:rsidRPr="000D0745">
        <w:rPr>
          <w:sz w:val="24"/>
          <w:szCs w:val="24"/>
          <w:lang w:val="en-GB" w:eastAsia="en-GB"/>
        </w:rPr>
        <w:t xml:space="preserve">With support from </w:t>
      </w:r>
      <w:r w:rsidR="00FA5BBE" w:rsidRPr="000D0745">
        <w:rPr>
          <w:sz w:val="24"/>
          <w:szCs w:val="24"/>
          <w:lang w:val="en-GB"/>
        </w:rPr>
        <w:t xml:space="preserve">the </w:t>
      </w:r>
      <w:proofErr w:type="spellStart"/>
      <w:r w:rsidR="001A57CE">
        <w:rPr>
          <w:sz w:val="24"/>
          <w:szCs w:val="24"/>
          <w:lang w:val="en-GB"/>
        </w:rPr>
        <w:t>SYPS</w:t>
      </w:r>
      <w:r w:rsidRPr="000D0745">
        <w:rPr>
          <w:sz w:val="24"/>
          <w:szCs w:val="24"/>
          <w:lang w:val="en-GB" w:eastAsia="en-GB"/>
        </w:rPr>
        <w:t>the</w:t>
      </w:r>
      <w:proofErr w:type="spellEnd"/>
      <w:r w:rsidRPr="000D0745">
        <w:rPr>
          <w:sz w:val="24"/>
          <w:szCs w:val="24"/>
          <w:lang w:val="en-GB" w:eastAsia="en-GB"/>
        </w:rPr>
        <w:t xml:space="preserve"> CCG will ensure that e</w:t>
      </w:r>
      <w:r w:rsidR="009D3E34" w:rsidRPr="000D0745">
        <w:rPr>
          <w:sz w:val="24"/>
          <w:szCs w:val="24"/>
          <w:lang w:val="en-GB" w:eastAsia="en-GB"/>
        </w:rPr>
        <w:t>very healthcare (clinical) service p</w:t>
      </w:r>
      <w:r w:rsidR="009B75AC">
        <w:rPr>
          <w:sz w:val="24"/>
          <w:szCs w:val="24"/>
          <w:lang w:val="en-GB" w:eastAsia="en-GB"/>
        </w:rPr>
        <w:t>rocurement will evaluate bidder</w:t>
      </w:r>
      <w:r w:rsidR="009D3E34" w:rsidRPr="000D0745">
        <w:rPr>
          <w:sz w:val="24"/>
          <w:szCs w:val="24"/>
          <w:lang w:val="en-GB" w:eastAsia="en-GB"/>
        </w:rPr>
        <w:t>s</w:t>
      </w:r>
      <w:r w:rsidR="009B75AC">
        <w:rPr>
          <w:sz w:val="24"/>
          <w:szCs w:val="24"/>
          <w:lang w:val="en-GB" w:eastAsia="en-GB"/>
        </w:rPr>
        <w:t>’</w:t>
      </w:r>
      <w:r w:rsidR="009D3E34" w:rsidRPr="000D0745">
        <w:rPr>
          <w:sz w:val="24"/>
          <w:szCs w:val="24"/>
          <w:lang w:val="en-GB" w:eastAsia="en-GB"/>
        </w:rPr>
        <w:t xml:space="preserve"> submissions using the MEAT strategy rather than solely on a lowest </w:t>
      </w:r>
      <w:r w:rsidR="00FA5BBE">
        <w:rPr>
          <w:sz w:val="24"/>
          <w:szCs w:val="24"/>
          <w:lang w:val="en-GB" w:eastAsia="en-GB"/>
        </w:rPr>
        <w:t>price</w:t>
      </w:r>
      <w:r w:rsidR="009D3E34" w:rsidRPr="000D0745">
        <w:rPr>
          <w:sz w:val="24"/>
          <w:szCs w:val="24"/>
          <w:lang w:val="en-GB" w:eastAsia="en-GB"/>
        </w:rPr>
        <w:t xml:space="preserve"> basis. This approach allows commissioners to consider the whole life cost of bids and takes into account the quality of the deliverable elements.  It will be for the commissioner of the service to determine the priorities when setting out the bid evaluation criteria.</w:t>
      </w:r>
    </w:p>
    <w:p w:rsidR="009D3E34" w:rsidRPr="000D0745" w:rsidRDefault="009D3E34" w:rsidP="00C4534A">
      <w:pPr>
        <w:rPr>
          <w:sz w:val="24"/>
          <w:szCs w:val="24"/>
          <w:lang w:val="en-GB"/>
        </w:rPr>
      </w:pPr>
    </w:p>
    <w:p w:rsidR="009D3E34" w:rsidRPr="000D0745" w:rsidRDefault="009B75AC" w:rsidP="00C4534A">
      <w:pPr>
        <w:pStyle w:val="Heading1"/>
        <w:numPr>
          <w:ilvl w:val="1"/>
          <w:numId w:val="19"/>
        </w:numPr>
        <w:ind w:left="567" w:hanging="567"/>
        <w:rPr>
          <w:rFonts w:eastAsia="Arial"/>
          <w:sz w:val="24"/>
          <w:szCs w:val="24"/>
        </w:rPr>
      </w:pPr>
      <w:bookmarkStart w:id="62" w:name="_Toc454455998"/>
      <w:r>
        <w:rPr>
          <w:rFonts w:eastAsia="Arial"/>
          <w:sz w:val="24"/>
          <w:szCs w:val="24"/>
        </w:rPr>
        <w:t>Managing Conflicts of Interest</w:t>
      </w:r>
      <w:bookmarkEnd w:id="62"/>
    </w:p>
    <w:p w:rsidR="009D3E34" w:rsidRPr="000D0745" w:rsidRDefault="009D3E34" w:rsidP="00C4534A">
      <w:pPr>
        <w:rPr>
          <w:sz w:val="24"/>
          <w:szCs w:val="24"/>
          <w:lang w:val="en-GB" w:eastAsia="en-GB"/>
        </w:rPr>
      </w:pPr>
    </w:p>
    <w:p w:rsidR="009D3E34" w:rsidRPr="000D0745" w:rsidRDefault="009D3E34" w:rsidP="00C4534A">
      <w:pPr>
        <w:ind w:left="567"/>
        <w:rPr>
          <w:sz w:val="24"/>
          <w:szCs w:val="24"/>
          <w:lang w:val="en-GB" w:eastAsia="en-GB"/>
        </w:rPr>
      </w:pPr>
      <w:r w:rsidRPr="000D0745">
        <w:rPr>
          <w:sz w:val="24"/>
          <w:szCs w:val="24"/>
          <w:lang w:val="en-GB" w:eastAsia="en-GB"/>
        </w:rPr>
        <w:t>When commissioning services for which GP practices/CCGs could be potential providers</w:t>
      </w:r>
      <w:r w:rsidR="00EA6939" w:rsidRPr="000D0745">
        <w:rPr>
          <w:sz w:val="24"/>
          <w:szCs w:val="24"/>
          <w:lang w:val="en-GB" w:eastAsia="en-GB"/>
        </w:rPr>
        <w:t>, or where staff may have a conflict of interest</w:t>
      </w:r>
      <w:r w:rsidRPr="000D0745">
        <w:rPr>
          <w:sz w:val="24"/>
          <w:szCs w:val="24"/>
          <w:lang w:val="en-GB" w:eastAsia="en-GB"/>
        </w:rPr>
        <w:t xml:space="preserve">, </w:t>
      </w:r>
      <w:r w:rsidR="001A57CE">
        <w:rPr>
          <w:sz w:val="24"/>
          <w:szCs w:val="24"/>
          <w:lang w:val="en-GB" w:eastAsia="en-GB"/>
        </w:rPr>
        <w:t>S</w:t>
      </w:r>
      <w:r w:rsidRPr="000D0745">
        <w:rPr>
          <w:sz w:val="24"/>
          <w:szCs w:val="24"/>
          <w:lang w:val="en-GB" w:eastAsia="en-GB"/>
        </w:rPr>
        <w:t xml:space="preserve">CCG will refer to the advice and guidance published by </w:t>
      </w:r>
      <w:r w:rsidR="009A7688" w:rsidRPr="000D0745">
        <w:rPr>
          <w:sz w:val="24"/>
          <w:szCs w:val="24"/>
          <w:lang w:val="en-GB" w:eastAsia="en-GB"/>
        </w:rPr>
        <w:t>NHS England</w:t>
      </w:r>
      <w:r w:rsidRPr="00F55A4C">
        <w:rPr>
          <w:rStyle w:val="FootnoteReference"/>
          <w:sz w:val="20"/>
          <w:lang w:val="en-GB" w:eastAsia="en-GB"/>
        </w:rPr>
        <w:footnoteReference w:id="12"/>
      </w:r>
      <w:r w:rsidRPr="000D0745">
        <w:rPr>
          <w:sz w:val="24"/>
          <w:szCs w:val="24"/>
          <w:lang w:val="en-GB" w:eastAsia="en-GB"/>
        </w:rPr>
        <w:t xml:space="preserve"> dealing with potential conflicts of interest.  This guidance describes the responsibility of </w:t>
      </w:r>
      <w:r w:rsidR="001A57CE">
        <w:rPr>
          <w:sz w:val="24"/>
          <w:szCs w:val="24"/>
          <w:lang w:val="en-GB" w:eastAsia="en-GB"/>
        </w:rPr>
        <w:t>S</w:t>
      </w:r>
      <w:r w:rsidRPr="000D0745">
        <w:rPr>
          <w:sz w:val="24"/>
          <w:szCs w:val="24"/>
          <w:lang w:val="en-GB" w:eastAsia="en-GB"/>
        </w:rPr>
        <w:t>CCG to demonstrate that those services</w:t>
      </w:r>
      <w:r w:rsidR="00EA6939" w:rsidRPr="000D0745">
        <w:rPr>
          <w:sz w:val="24"/>
          <w:szCs w:val="24"/>
          <w:lang w:val="en-GB" w:eastAsia="en-GB"/>
        </w:rPr>
        <w:t xml:space="preserve"> commissioned</w:t>
      </w:r>
      <w:r w:rsidRPr="000D0745">
        <w:rPr>
          <w:sz w:val="24"/>
          <w:szCs w:val="24"/>
          <w:lang w:val="en-GB" w:eastAsia="en-GB"/>
        </w:rPr>
        <w:t>:</w:t>
      </w:r>
    </w:p>
    <w:p w:rsidR="009D3E34" w:rsidRPr="000D0745" w:rsidRDefault="009D3E34" w:rsidP="00C4534A">
      <w:pPr>
        <w:rPr>
          <w:sz w:val="24"/>
          <w:szCs w:val="24"/>
          <w:lang w:val="en-GB" w:eastAsia="en-GB"/>
        </w:rPr>
      </w:pPr>
    </w:p>
    <w:p w:rsidR="009D3E34" w:rsidRPr="000D0745" w:rsidRDefault="00173CAE" w:rsidP="00C4534A">
      <w:pPr>
        <w:numPr>
          <w:ilvl w:val="0"/>
          <w:numId w:val="9"/>
        </w:numPr>
        <w:autoSpaceDE w:val="0"/>
        <w:autoSpaceDN w:val="0"/>
        <w:adjustRightInd w:val="0"/>
        <w:ind w:left="993" w:hanging="426"/>
        <w:rPr>
          <w:rFonts w:cs="Helvetica"/>
          <w:sz w:val="24"/>
          <w:szCs w:val="24"/>
          <w:lang w:val="en-GB" w:eastAsia="en-GB"/>
        </w:rPr>
      </w:pPr>
      <w:r>
        <w:rPr>
          <w:rFonts w:cs="Helvetica"/>
          <w:sz w:val="24"/>
          <w:szCs w:val="24"/>
          <w:lang w:val="en-GB" w:eastAsia="en-GB"/>
        </w:rPr>
        <w:t>C</w:t>
      </w:r>
      <w:r w:rsidR="009D3E34" w:rsidRPr="000D0745">
        <w:rPr>
          <w:rFonts w:cs="Helvetica"/>
          <w:sz w:val="24"/>
          <w:szCs w:val="24"/>
          <w:lang w:val="en-GB" w:eastAsia="en-GB"/>
        </w:rPr>
        <w:t>learly meet local health needs and have been planned appropriately;</w:t>
      </w:r>
    </w:p>
    <w:p w:rsidR="009D3E34" w:rsidRPr="000D0745" w:rsidRDefault="00173CAE" w:rsidP="00C4534A">
      <w:pPr>
        <w:numPr>
          <w:ilvl w:val="0"/>
          <w:numId w:val="9"/>
        </w:numPr>
        <w:autoSpaceDE w:val="0"/>
        <w:autoSpaceDN w:val="0"/>
        <w:adjustRightInd w:val="0"/>
        <w:ind w:left="993" w:hanging="426"/>
        <w:rPr>
          <w:rFonts w:cs="Helvetica"/>
          <w:sz w:val="24"/>
          <w:szCs w:val="24"/>
          <w:lang w:val="en-GB" w:eastAsia="en-GB"/>
        </w:rPr>
      </w:pPr>
      <w:r>
        <w:rPr>
          <w:rFonts w:cs="Helvetica"/>
          <w:sz w:val="24"/>
          <w:szCs w:val="24"/>
          <w:lang w:val="en-GB" w:eastAsia="en-GB"/>
        </w:rPr>
        <w:t>G</w:t>
      </w:r>
      <w:r w:rsidR="009D3E34" w:rsidRPr="000D0745">
        <w:rPr>
          <w:rFonts w:cs="Helvetica"/>
          <w:sz w:val="24"/>
          <w:szCs w:val="24"/>
          <w:lang w:val="en-GB" w:eastAsia="en-GB"/>
        </w:rPr>
        <w:t>o beyond the scope of the GP contract; and</w:t>
      </w:r>
    </w:p>
    <w:p w:rsidR="009D3E34" w:rsidRPr="000D0745" w:rsidRDefault="00173CAE" w:rsidP="00C4534A">
      <w:pPr>
        <w:numPr>
          <w:ilvl w:val="0"/>
          <w:numId w:val="9"/>
        </w:numPr>
        <w:ind w:left="993" w:hanging="426"/>
        <w:rPr>
          <w:sz w:val="24"/>
          <w:szCs w:val="24"/>
          <w:lang w:val="en-GB" w:eastAsia="en-GB"/>
        </w:rPr>
      </w:pPr>
      <w:r>
        <w:rPr>
          <w:rFonts w:cs="Helvetica"/>
          <w:sz w:val="24"/>
          <w:szCs w:val="24"/>
          <w:lang w:val="en-GB" w:eastAsia="en-GB"/>
        </w:rPr>
        <w:t>T</w:t>
      </w:r>
      <w:r w:rsidR="009D3E34" w:rsidRPr="000D0745">
        <w:rPr>
          <w:rFonts w:cs="Helvetica"/>
          <w:sz w:val="24"/>
          <w:szCs w:val="24"/>
          <w:lang w:val="en-GB" w:eastAsia="en-GB"/>
        </w:rPr>
        <w:t>he appropriate procurement approach is used.</w:t>
      </w:r>
    </w:p>
    <w:p w:rsidR="009D3E34" w:rsidRPr="000D0745" w:rsidRDefault="009D3E34" w:rsidP="00C4534A">
      <w:pPr>
        <w:pStyle w:val="Heading2"/>
        <w:numPr>
          <w:ilvl w:val="0"/>
          <w:numId w:val="0"/>
        </w:numPr>
        <w:jc w:val="left"/>
        <w:rPr>
          <w:sz w:val="24"/>
          <w:szCs w:val="24"/>
          <w:lang w:val="en-GB"/>
        </w:rPr>
      </w:pPr>
    </w:p>
    <w:p w:rsidR="009D3E34" w:rsidRPr="000D0745" w:rsidRDefault="001A57CE" w:rsidP="00C4534A">
      <w:pPr>
        <w:ind w:left="567"/>
        <w:rPr>
          <w:sz w:val="24"/>
          <w:szCs w:val="24"/>
          <w:lang w:val="en-GB" w:eastAsia="en-GB"/>
        </w:rPr>
      </w:pPr>
      <w:r>
        <w:rPr>
          <w:sz w:val="24"/>
          <w:szCs w:val="24"/>
          <w:lang w:val="en-GB" w:eastAsia="en-GB"/>
        </w:rPr>
        <w:t>S</w:t>
      </w:r>
      <w:r w:rsidR="002E532F" w:rsidRPr="000D0745">
        <w:rPr>
          <w:sz w:val="24"/>
          <w:szCs w:val="24"/>
          <w:lang w:val="en-GB" w:eastAsia="en-GB"/>
        </w:rPr>
        <w:t xml:space="preserve">CCG has a </w:t>
      </w:r>
      <w:r w:rsidR="009D3E34" w:rsidRPr="000D0745">
        <w:rPr>
          <w:sz w:val="24"/>
          <w:szCs w:val="24"/>
          <w:lang w:val="en-GB" w:eastAsia="en-GB"/>
        </w:rPr>
        <w:t>requirement to manage co</w:t>
      </w:r>
      <w:r w:rsidR="002E532F" w:rsidRPr="000D0745">
        <w:rPr>
          <w:sz w:val="24"/>
          <w:szCs w:val="24"/>
          <w:lang w:val="en-GB" w:eastAsia="en-GB"/>
        </w:rPr>
        <w:t>nflicts of interest and has the following processes in place</w:t>
      </w:r>
      <w:r w:rsidR="009D3E34" w:rsidRPr="000D0745">
        <w:rPr>
          <w:sz w:val="24"/>
          <w:szCs w:val="24"/>
          <w:lang w:val="en-GB" w:eastAsia="en-GB"/>
        </w:rPr>
        <w:t>:</w:t>
      </w:r>
    </w:p>
    <w:p w:rsidR="009D3E34" w:rsidRPr="000D0745" w:rsidRDefault="009D3E34" w:rsidP="00C4534A">
      <w:pPr>
        <w:rPr>
          <w:sz w:val="24"/>
          <w:szCs w:val="24"/>
          <w:lang w:val="en-GB" w:eastAsia="en-GB"/>
        </w:rPr>
      </w:pP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A</w:t>
      </w:r>
      <w:r w:rsidR="009D3E34" w:rsidRPr="000D0745">
        <w:rPr>
          <w:rFonts w:cs="Helvetica"/>
          <w:sz w:val="24"/>
          <w:szCs w:val="24"/>
          <w:lang w:val="en-GB" w:eastAsia="en-GB"/>
        </w:rPr>
        <w:t>rrangements for declaring interests;</w:t>
      </w: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M</w:t>
      </w:r>
      <w:r w:rsidR="009D3E34" w:rsidRPr="000D0745">
        <w:rPr>
          <w:rFonts w:cs="Helvetica"/>
          <w:sz w:val="24"/>
          <w:szCs w:val="24"/>
          <w:lang w:val="en-GB" w:eastAsia="en-GB"/>
        </w:rPr>
        <w:t>aintaining a register of interests;</w:t>
      </w: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lastRenderedPageBreak/>
        <w:t>E</w:t>
      </w:r>
      <w:r w:rsidR="009D3E34" w:rsidRPr="000D0745">
        <w:rPr>
          <w:rFonts w:cs="Helvetica"/>
          <w:sz w:val="24"/>
          <w:szCs w:val="24"/>
          <w:lang w:val="en-GB" w:eastAsia="en-GB"/>
        </w:rPr>
        <w:t>xcluding individuals from decision-making where a conflict arises; and</w:t>
      </w:r>
    </w:p>
    <w:p w:rsidR="009D3E34"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E</w:t>
      </w:r>
      <w:r w:rsidR="009D3E34" w:rsidRPr="000D0745">
        <w:rPr>
          <w:rFonts w:cs="Helvetica"/>
          <w:sz w:val="24"/>
          <w:szCs w:val="24"/>
          <w:lang w:val="en-GB" w:eastAsia="en-GB"/>
        </w:rPr>
        <w:t>ngagement with a range of potential providers on service design.</w:t>
      </w:r>
    </w:p>
    <w:p w:rsidR="001738A8" w:rsidRPr="001738A8" w:rsidRDefault="00FE2EDA" w:rsidP="001738A8">
      <w:pPr>
        <w:numPr>
          <w:ilvl w:val="0"/>
          <w:numId w:val="9"/>
        </w:numPr>
        <w:ind w:left="993" w:hanging="426"/>
        <w:rPr>
          <w:rFonts w:cs="Helvetica"/>
          <w:sz w:val="24"/>
          <w:szCs w:val="24"/>
          <w:lang w:val="en-GB" w:eastAsia="en-GB"/>
        </w:rPr>
      </w:pPr>
      <w:hyperlink r:id="rId10" w:history="1">
        <w:r w:rsidR="001738A8" w:rsidRPr="001738A8">
          <w:rPr>
            <w:rStyle w:val="Hyperlink"/>
            <w:rFonts w:cs="Helvetica"/>
            <w:sz w:val="24"/>
            <w:szCs w:val="24"/>
            <w:lang w:val="en-GB" w:eastAsia="en-GB"/>
          </w:rPr>
          <w:t>A Policy on the management of conflicts of interest</w:t>
        </w:r>
      </w:hyperlink>
      <w:r w:rsidR="001738A8">
        <w:rPr>
          <w:rFonts w:cs="Helvetica"/>
          <w:sz w:val="24"/>
          <w:szCs w:val="24"/>
          <w:lang w:val="en-GB" w:eastAsia="en-GB"/>
        </w:rPr>
        <w:t xml:space="preserve"> </w:t>
      </w:r>
    </w:p>
    <w:p w:rsidR="009B75AC" w:rsidRDefault="009B75AC" w:rsidP="00C4534A">
      <w:pPr>
        <w:ind w:left="567"/>
        <w:rPr>
          <w:rFonts w:cs="Helvetica"/>
          <w:sz w:val="24"/>
          <w:szCs w:val="24"/>
          <w:lang w:val="en-GB" w:eastAsia="en-GB"/>
        </w:rPr>
      </w:pPr>
    </w:p>
    <w:p w:rsidR="007A5E57" w:rsidRDefault="0051020B" w:rsidP="00C4534A">
      <w:pPr>
        <w:ind w:left="567"/>
        <w:rPr>
          <w:rFonts w:cs="Helvetica"/>
          <w:sz w:val="24"/>
          <w:szCs w:val="24"/>
          <w:lang w:val="en-GB" w:eastAsia="en-GB"/>
        </w:rPr>
      </w:pPr>
      <w:r>
        <w:rPr>
          <w:rFonts w:cs="Helvetica"/>
          <w:sz w:val="24"/>
          <w:szCs w:val="24"/>
          <w:lang w:val="en-GB" w:eastAsia="en-GB"/>
        </w:rPr>
        <w:t xml:space="preserve">The PCR 2015 also regulates conflicts of interest (Regulation 24), imposing a requirement that contracting authorities take measures to prevent, identify and remedy such conflicts and ensure equal treatment and non-distortion of competition. </w:t>
      </w:r>
    </w:p>
    <w:p w:rsidR="007A5E57" w:rsidRDefault="007A5E57" w:rsidP="00C4534A">
      <w:pPr>
        <w:ind w:left="567"/>
        <w:rPr>
          <w:rFonts w:cs="Helvetica"/>
          <w:sz w:val="24"/>
          <w:szCs w:val="24"/>
          <w:lang w:val="en-GB" w:eastAsia="en-GB"/>
        </w:rPr>
      </w:pPr>
    </w:p>
    <w:p w:rsidR="009B75AC" w:rsidRDefault="0051020B" w:rsidP="00C4534A">
      <w:pPr>
        <w:ind w:left="567"/>
        <w:rPr>
          <w:rFonts w:cs="Helvetica"/>
          <w:sz w:val="24"/>
          <w:szCs w:val="24"/>
          <w:lang w:val="en-GB" w:eastAsia="en-GB"/>
        </w:rPr>
      </w:pPr>
      <w:r>
        <w:rPr>
          <w:rFonts w:cs="Helvetica"/>
          <w:sz w:val="24"/>
          <w:szCs w:val="24"/>
          <w:lang w:val="en-GB" w:eastAsia="en-GB"/>
        </w:rPr>
        <w:t>In particular, Regulation 24 highlights the potential for conflict where staff members of the contracting authority have a direct or indirect interest which could prejudice their impartiality in the running of the procurement</w:t>
      </w:r>
      <w:r w:rsidR="007A5E57">
        <w:rPr>
          <w:rFonts w:cs="Helvetica"/>
          <w:sz w:val="24"/>
          <w:szCs w:val="24"/>
          <w:lang w:val="en-GB" w:eastAsia="en-GB"/>
        </w:rPr>
        <w:t>. An unresolvable conflict of interest forms a new ground for discretionary exclusion at selection stage.</w:t>
      </w:r>
    </w:p>
    <w:p w:rsidR="00B0776B" w:rsidRDefault="00B0776B" w:rsidP="00C4534A">
      <w:pPr>
        <w:ind w:left="567"/>
        <w:rPr>
          <w:rFonts w:cs="Helvetica"/>
          <w:sz w:val="24"/>
          <w:szCs w:val="24"/>
          <w:lang w:val="en-GB" w:eastAsia="en-GB"/>
        </w:rPr>
      </w:pPr>
    </w:p>
    <w:p w:rsidR="00B0776B" w:rsidRDefault="00B0776B" w:rsidP="00C4534A">
      <w:pPr>
        <w:pStyle w:val="Heading1"/>
        <w:numPr>
          <w:ilvl w:val="1"/>
          <w:numId w:val="19"/>
        </w:numPr>
        <w:ind w:left="567" w:hanging="567"/>
        <w:rPr>
          <w:rFonts w:eastAsia="Arial"/>
          <w:sz w:val="24"/>
          <w:szCs w:val="24"/>
        </w:rPr>
      </w:pPr>
      <w:bookmarkStart w:id="63" w:name="_Toc454455999"/>
      <w:r w:rsidRPr="00B0776B">
        <w:rPr>
          <w:rFonts w:eastAsia="Arial"/>
          <w:sz w:val="24"/>
          <w:szCs w:val="24"/>
        </w:rPr>
        <w:t>Pre-Procurement Engagement</w:t>
      </w:r>
      <w:bookmarkEnd w:id="63"/>
    </w:p>
    <w:p w:rsidR="00B0776B" w:rsidRDefault="00B0776B" w:rsidP="00C4534A">
      <w:pPr>
        <w:rPr>
          <w:lang w:val="en-GB"/>
        </w:rPr>
      </w:pPr>
    </w:p>
    <w:p w:rsidR="00B0776B" w:rsidRDefault="00B0776B" w:rsidP="00C4534A">
      <w:pPr>
        <w:ind w:left="567"/>
        <w:rPr>
          <w:rFonts w:cs="Helvetica"/>
          <w:sz w:val="24"/>
          <w:szCs w:val="24"/>
          <w:lang w:val="en-GB" w:eastAsia="en-GB"/>
        </w:rPr>
      </w:pPr>
      <w:r w:rsidRPr="00B0776B">
        <w:rPr>
          <w:rFonts w:cs="Helvetica"/>
          <w:sz w:val="24"/>
          <w:szCs w:val="24"/>
          <w:lang w:val="en-GB" w:eastAsia="en-GB"/>
        </w:rPr>
        <w:t>The PCR 2015 officially gives blessing to consultation of the market pre-procurement</w:t>
      </w:r>
      <w:r w:rsidR="00DB257D">
        <w:rPr>
          <w:rFonts w:cs="Helvetica"/>
          <w:sz w:val="24"/>
          <w:szCs w:val="24"/>
          <w:lang w:val="en-GB" w:eastAsia="en-GB"/>
        </w:rPr>
        <w:t>,</w:t>
      </w:r>
      <w:r w:rsidRPr="00B0776B">
        <w:rPr>
          <w:rFonts w:cs="Helvetica"/>
          <w:sz w:val="24"/>
          <w:szCs w:val="24"/>
          <w:lang w:val="en-GB" w:eastAsia="en-GB"/>
        </w:rPr>
        <w:t xml:space="preserve"> provided this is within the parameters of Regulations 40 and 41. Regulation 40 expressly allows contracting authorities to use advice gained as part of a pre-market engagement process in the planning and conduct of the procurement, provided that this is not anti-competitive or a breach of transparency and non-discrimination principles.</w:t>
      </w:r>
    </w:p>
    <w:p w:rsidR="00922F40" w:rsidRDefault="00922F40" w:rsidP="00C4534A">
      <w:pPr>
        <w:ind w:left="567"/>
        <w:rPr>
          <w:rFonts w:cs="Helvetica"/>
          <w:sz w:val="24"/>
          <w:szCs w:val="24"/>
          <w:lang w:val="en-GB" w:eastAsia="en-GB"/>
        </w:rPr>
      </w:pPr>
    </w:p>
    <w:p w:rsidR="009B75AC" w:rsidRDefault="00922F40" w:rsidP="00C4534A">
      <w:pPr>
        <w:ind w:left="567"/>
        <w:rPr>
          <w:rFonts w:cs="Helvetica"/>
          <w:sz w:val="24"/>
          <w:szCs w:val="24"/>
          <w:lang w:val="en-GB" w:eastAsia="en-GB"/>
        </w:rPr>
      </w:pPr>
      <w:r>
        <w:rPr>
          <w:rFonts w:cs="Helvetica"/>
          <w:sz w:val="24"/>
          <w:szCs w:val="24"/>
          <w:lang w:val="en-GB" w:eastAsia="en-GB"/>
        </w:rPr>
        <w:t>Regulation 41 imposes express requirements where a supplier has had prior involvement in the preparation of the procurement; a contracting authority must ensure that the relevant information is disseminated amongst all bidders to ensure a level playing field and that sensible bid deadlines are set. There is a presumption that the bidder with prior involvement will only be excluded if there is no other way to ensure equality of treatment amongst bidders.</w:t>
      </w:r>
    </w:p>
    <w:p w:rsidR="008A45F0" w:rsidRDefault="008A45F0" w:rsidP="00C4534A">
      <w:pPr>
        <w:ind w:left="567"/>
        <w:rPr>
          <w:rFonts w:cs="Helvetica"/>
          <w:sz w:val="24"/>
          <w:szCs w:val="24"/>
          <w:lang w:val="en-GB" w:eastAsia="en-GB"/>
        </w:rPr>
      </w:pPr>
    </w:p>
    <w:p w:rsidR="008A45F0" w:rsidRPr="008A45F0" w:rsidRDefault="00774374" w:rsidP="00C4534A">
      <w:pPr>
        <w:pStyle w:val="Heading1"/>
        <w:numPr>
          <w:ilvl w:val="1"/>
          <w:numId w:val="19"/>
        </w:numPr>
        <w:ind w:left="567" w:hanging="567"/>
        <w:rPr>
          <w:rFonts w:eastAsia="Arial"/>
          <w:sz w:val="24"/>
          <w:szCs w:val="24"/>
        </w:rPr>
      </w:pPr>
      <w:bookmarkStart w:id="64" w:name="_Toc454456000"/>
      <w:r>
        <w:rPr>
          <w:rFonts w:eastAsia="Arial"/>
          <w:sz w:val="24"/>
          <w:szCs w:val="24"/>
        </w:rPr>
        <w:t xml:space="preserve">OJEU </w:t>
      </w:r>
      <w:r w:rsidR="008A45F0" w:rsidRPr="008A45F0">
        <w:rPr>
          <w:rFonts w:eastAsia="Arial"/>
          <w:sz w:val="24"/>
          <w:szCs w:val="24"/>
        </w:rPr>
        <w:t>Thresholds</w:t>
      </w:r>
      <w:bookmarkEnd w:id="64"/>
    </w:p>
    <w:p w:rsidR="008A45F0" w:rsidRDefault="008A45F0" w:rsidP="00C4534A">
      <w:pPr>
        <w:ind w:left="567"/>
        <w:rPr>
          <w:rFonts w:cs="Helvetica"/>
          <w:sz w:val="24"/>
          <w:szCs w:val="24"/>
          <w:lang w:val="en-GB" w:eastAsia="en-GB"/>
        </w:rPr>
      </w:pPr>
    </w:p>
    <w:p w:rsidR="008A45F0" w:rsidRDefault="00774374" w:rsidP="00C4534A">
      <w:pPr>
        <w:ind w:left="567"/>
        <w:rPr>
          <w:rFonts w:cs="Helvetica"/>
          <w:sz w:val="24"/>
          <w:szCs w:val="24"/>
          <w:lang w:val="en-GB" w:eastAsia="en-GB"/>
        </w:rPr>
      </w:pPr>
      <w:r w:rsidRPr="00774374">
        <w:rPr>
          <w:rFonts w:cs="Helvetica"/>
          <w:sz w:val="24"/>
          <w:szCs w:val="24"/>
          <w:lang w:val="en-GB" w:eastAsia="en-GB"/>
        </w:rPr>
        <w:t>As with the PCR 2006, the PCR 2015 will only apply where the contract being awarded is within the scope of the PCR 2015 and exceeds a value threshold (which is set out in Article 4(a) to (c) of the Directive). Regulation 6 of the PCR 2015 sets out the rules on how to calculate the value of a contract for the purposes of assessing whether the threshold is exceeded (broadly speaking, the position here is unchanged from that of the PCR 2006, in particular the rules around aggregation of requirements and contract values).</w:t>
      </w:r>
    </w:p>
    <w:p w:rsidR="00774374" w:rsidRDefault="00774374" w:rsidP="00C4534A">
      <w:pPr>
        <w:ind w:left="567"/>
        <w:rPr>
          <w:rFonts w:cs="Helvetica"/>
          <w:sz w:val="24"/>
          <w:szCs w:val="24"/>
          <w:lang w:val="en-GB" w:eastAsia="en-GB"/>
        </w:rPr>
      </w:pPr>
    </w:p>
    <w:p w:rsidR="00774374" w:rsidRDefault="00774374" w:rsidP="00C4534A">
      <w:pPr>
        <w:ind w:left="567"/>
        <w:rPr>
          <w:rFonts w:cs="Helvetica"/>
          <w:sz w:val="24"/>
          <w:szCs w:val="24"/>
          <w:lang w:val="en-GB" w:eastAsia="en-GB"/>
        </w:rPr>
      </w:pPr>
      <w:r>
        <w:rPr>
          <w:rFonts w:cs="Helvetica"/>
          <w:sz w:val="24"/>
          <w:szCs w:val="24"/>
          <w:lang w:val="en-GB" w:eastAsia="en-GB"/>
        </w:rPr>
        <w:t>Thresholds are published every two years. Current published thresholds are applicable for the period 1</w:t>
      </w:r>
      <w:r w:rsidRPr="00774374">
        <w:rPr>
          <w:rFonts w:cs="Helvetica"/>
          <w:sz w:val="24"/>
          <w:szCs w:val="24"/>
          <w:vertAlign w:val="superscript"/>
          <w:lang w:val="en-GB" w:eastAsia="en-GB"/>
        </w:rPr>
        <w:t>st</w:t>
      </w:r>
      <w:r>
        <w:rPr>
          <w:rFonts w:cs="Helvetica"/>
          <w:sz w:val="24"/>
          <w:szCs w:val="24"/>
          <w:lang w:val="en-GB" w:eastAsia="en-GB"/>
        </w:rPr>
        <w:t xml:space="preserve"> January </w:t>
      </w:r>
      <w:r w:rsidR="0043245F">
        <w:rPr>
          <w:rFonts w:cs="Helvetica"/>
          <w:sz w:val="24"/>
          <w:szCs w:val="24"/>
          <w:lang w:val="en-GB" w:eastAsia="en-GB"/>
        </w:rPr>
        <w:t xml:space="preserve">2018 </w:t>
      </w:r>
      <w:r>
        <w:rPr>
          <w:rFonts w:cs="Helvetica"/>
          <w:sz w:val="24"/>
          <w:szCs w:val="24"/>
          <w:lang w:val="en-GB" w:eastAsia="en-GB"/>
        </w:rPr>
        <w:t>to 31</w:t>
      </w:r>
      <w:r w:rsidRPr="00774374">
        <w:rPr>
          <w:rFonts w:cs="Helvetica"/>
          <w:sz w:val="24"/>
          <w:szCs w:val="24"/>
          <w:vertAlign w:val="superscript"/>
          <w:lang w:val="en-GB" w:eastAsia="en-GB"/>
        </w:rPr>
        <w:t>st</w:t>
      </w:r>
      <w:r>
        <w:rPr>
          <w:rFonts w:cs="Helvetica"/>
          <w:sz w:val="24"/>
          <w:szCs w:val="24"/>
          <w:lang w:val="en-GB" w:eastAsia="en-GB"/>
        </w:rPr>
        <w:t xml:space="preserve"> December </w:t>
      </w:r>
      <w:r w:rsidR="0043245F">
        <w:rPr>
          <w:rFonts w:cs="Helvetica"/>
          <w:sz w:val="24"/>
          <w:szCs w:val="24"/>
          <w:lang w:val="en-GB" w:eastAsia="en-GB"/>
        </w:rPr>
        <w:t>2020</w:t>
      </w:r>
      <w:r>
        <w:rPr>
          <w:rFonts w:cs="Helvetica"/>
          <w:sz w:val="24"/>
          <w:szCs w:val="24"/>
          <w:lang w:val="en-GB" w:eastAsia="en-GB"/>
        </w:rPr>
        <w:t xml:space="preserve">. Commissioners should consult the </w:t>
      </w:r>
      <w:proofErr w:type="spellStart"/>
      <w:r w:rsidR="001A57CE">
        <w:rPr>
          <w:rFonts w:cs="Helvetica"/>
          <w:sz w:val="24"/>
          <w:szCs w:val="24"/>
          <w:lang w:val="en-GB" w:eastAsia="en-GB"/>
        </w:rPr>
        <w:t>SYPS</w:t>
      </w:r>
      <w:r>
        <w:rPr>
          <w:rFonts w:cs="Helvetica"/>
          <w:sz w:val="24"/>
          <w:szCs w:val="24"/>
          <w:lang w:val="en-GB" w:eastAsia="en-GB"/>
        </w:rPr>
        <w:t>for</w:t>
      </w:r>
      <w:proofErr w:type="spellEnd"/>
      <w:r>
        <w:rPr>
          <w:rFonts w:cs="Helvetica"/>
          <w:sz w:val="24"/>
          <w:szCs w:val="24"/>
          <w:lang w:val="en-GB" w:eastAsia="en-GB"/>
        </w:rPr>
        <w:t xml:space="preserve"> advice on current thresholds and their application to ensure the correct procurement route is adopted.</w:t>
      </w:r>
    </w:p>
    <w:p w:rsidR="00380CE8" w:rsidRDefault="00380CE8" w:rsidP="00C4534A">
      <w:pPr>
        <w:ind w:left="567"/>
        <w:rPr>
          <w:rFonts w:cs="Helvetica"/>
          <w:sz w:val="24"/>
          <w:szCs w:val="24"/>
          <w:lang w:val="en-GB" w:eastAsia="en-GB"/>
        </w:rPr>
      </w:pPr>
    </w:p>
    <w:p w:rsidR="00380CE8" w:rsidRPr="00774374" w:rsidRDefault="00380CE8" w:rsidP="00C4534A">
      <w:pPr>
        <w:ind w:left="567"/>
        <w:rPr>
          <w:rFonts w:cs="Helvetica"/>
          <w:sz w:val="24"/>
          <w:szCs w:val="24"/>
          <w:lang w:val="en-GB" w:eastAsia="en-GB"/>
        </w:rPr>
      </w:pPr>
    </w:p>
    <w:p w:rsidR="00672DE2" w:rsidRDefault="00672DE2" w:rsidP="00C4534A">
      <w:pPr>
        <w:rPr>
          <w:rFonts w:eastAsia="Arial"/>
          <w:lang w:val="en-GB"/>
        </w:rPr>
      </w:pPr>
    </w:p>
    <w:p w:rsidR="00672DE2" w:rsidRDefault="00672DE2" w:rsidP="00C4534A">
      <w:pPr>
        <w:pStyle w:val="Heading1"/>
        <w:numPr>
          <w:ilvl w:val="1"/>
          <w:numId w:val="19"/>
        </w:numPr>
        <w:ind w:left="567" w:hanging="567"/>
        <w:rPr>
          <w:rFonts w:eastAsia="Arial"/>
          <w:sz w:val="24"/>
          <w:szCs w:val="24"/>
        </w:rPr>
      </w:pPr>
      <w:bookmarkStart w:id="65" w:name="_Toc454456001"/>
      <w:r w:rsidRPr="00672DE2">
        <w:rPr>
          <w:rFonts w:eastAsia="Arial"/>
          <w:sz w:val="24"/>
          <w:szCs w:val="24"/>
        </w:rPr>
        <w:lastRenderedPageBreak/>
        <w:t>Advertising Opportunities</w:t>
      </w:r>
      <w:bookmarkEnd w:id="65"/>
    </w:p>
    <w:p w:rsidR="00774374" w:rsidRDefault="00774374" w:rsidP="00C4534A">
      <w:pPr>
        <w:rPr>
          <w:rFonts w:eastAsia="Arial"/>
          <w:lang w:val="en-GB"/>
        </w:rPr>
      </w:pPr>
    </w:p>
    <w:p w:rsidR="00774374" w:rsidRDefault="00774374" w:rsidP="00C4534A">
      <w:pPr>
        <w:ind w:left="567"/>
        <w:rPr>
          <w:rFonts w:cs="Helvetica"/>
          <w:sz w:val="24"/>
          <w:szCs w:val="24"/>
          <w:lang w:val="en-GB" w:eastAsia="en-GB"/>
        </w:rPr>
      </w:pPr>
      <w:r w:rsidRPr="00774374">
        <w:rPr>
          <w:rFonts w:cs="Helvetica"/>
          <w:sz w:val="24"/>
          <w:szCs w:val="24"/>
          <w:lang w:val="en-GB" w:eastAsia="en-GB"/>
        </w:rPr>
        <w:t xml:space="preserve">Regulation 53 </w:t>
      </w:r>
      <w:r>
        <w:rPr>
          <w:rFonts w:cs="Helvetica"/>
          <w:sz w:val="24"/>
          <w:szCs w:val="24"/>
          <w:lang w:val="en-GB" w:eastAsia="en-GB"/>
        </w:rPr>
        <w:t xml:space="preserve">of the PCR 2015 </w:t>
      </w:r>
      <w:r w:rsidRPr="00774374">
        <w:rPr>
          <w:rFonts w:cs="Helvetica"/>
          <w:sz w:val="24"/>
          <w:szCs w:val="24"/>
          <w:lang w:val="en-GB" w:eastAsia="en-GB"/>
        </w:rPr>
        <w:t xml:space="preserve">requires all contracting authorities to offer full and unrestricted access to all the procurement documents from the date that a contract (OJEU) notice (or invitation to confirm interest following a PIN) is published in the OJEU. </w:t>
      </w:r>
      <w:r w:rsidR="00DB257D">
        <w:rPr>
          <w:rFonts w:cs="Helvetica"/>
          <w:sz w:val="24"/>
          <w:szCs w:val="24"/>
          <w:lang w:val="en-GB" w:eastAsia="en-GB"/>
        </w:rPr>
        <w:t>‘</w:t>
      </w:r>
      <w:r w:rsidRPr="00774374">
        <w:rPr>
          <w:rFonts w:cs="Helvetica"/>
          <w:sz w:val="24"/>
          <w:szCs w:val="24"/>
          <w:lang w:val="en-GB" w:eastAsia="en-GB"/>
        </w:rPr>
        <w:t>Procurement documents</w:t>
      </w:r>
      <w:r w:rsidR="00DB257D">
        <w:rPr>
          <w:rFonts w:cs="Helvetica"/>
          <w:sz w:val="24"/>
          <w:szCs w:val="24"/>
          <w:lang w:val="en-GB" w:eastAsia="en-GB"/>
        </w:rPr>
        <w:t>’</w:t>
      </w:r>
      <w:r w:rsidRPr="00774374">
        <w:rPr>
          <w:rFonts w:cs="Helvetica"/>
          <w:sz w:val="24"/>
          <w:szCs w:val="24"/>
          <w:lang w:val="en-GB" w:eastAsia="en-GB"/>
        </w:rPr>
        <w:t xml:space="preserve"> is a defined term in the PCR 2015 and will include, in addition to the call for competition itself, and non-exhaustively, technical specifications, descriptive documents, pre-qualification questionnaires, invitations to tender, and the terms and conditions of the contract.</w:t>
      </w:r>
    </w:p>
    <w:p w:rsidR="00C75610" w:rsidRPr="00774374" w:rsidRDefault="00C75610" w:rsidP="00C4534A">
      <w:pPr>
        <w:ind w:left="567"/>
        <w:rPr>
          <w:rFonts w:cs="Helvetica"/>
          <w:sz w:val="24"/>
          <w:szCs w:val="24"/>
          <w:lang w:val="en-GB" w:eastAsia="en-GB"/>
        </w:rPr>
      </w:pPr>
    </w:p>
    <w:p w:rsidR="008A45F0" w:rsidRDefault="008A45F0" w:rsidP="00C4534A">
      <w:pPr>
        <w:rPr>
          <w:lang w:val="en-GB"/>
        </w:rPr>
      </w:pPr>
    </w:p>
    <w:p w:rsidR="008A45F0" w:rsidRDefault="008A45F0" w:rsidP="00C4534A">
      <w:pPr>
        <w:pStyle w:val="Heading1"/>
        <w:numPr>
          <w:ilvl w:val="1"/>
          <w:numId w:val="19"/>
        </w:numPr>
        <w:ind w:left="567" w:hanging="567"/>
        <w:rPr>
          <w:rFonts w:eastAsia="Arial"/>
          <w:sz w:val="24"/>
          <w:szCs w:val="24"/>
        </w:rPr>
      </w:pPr>
      <w:bookmarkStart w:id="66" w:name="_Toc454456002"/>
      <w:r w:rsidRPr="008A45F0">
        <w:rPr>
          <w:rFonts w:eastAsia="Arial"/>
          <w:sz w:val="24"/>
          <w:szCs w:val="24"/>
        </w:rPr>
        <w:t>Service Contracts</w:t>
      </w:r>
      <w:bookmarkEnd w:id="66"/>
    </w:p>
    <w:p w:rsidR="00774374" w:rsidRDefault="00774374" w:rsidP="00C4534A">
      <w:pPr>
        <w:rPr>
          <w:rFonts w:eastAsia="Arial"/>
          <w:lang w:val="en-GB"/>
        </w:rPr>
      </w:pPr>
    </w:p>
    <w:p w:rsidR="00774374" w:rsidRDefault="00774374" w:rsidP="00C4534A">
      <w:pPr>
        <w:ind w:left="567"/>
        <w:rPr>
          <w:rFonts w:cs="Helvetica"/>
          <w:sz w:val="24"/>
          <w:szCs w:val="24"/>
          <w:lang w:val="en-GB" w:eastAsia="en-GB"/>
        </w:rPr>
      </w:pPr>
      <w:r w:rsidRPr="00774374">
        <w:rPr>
          <w:rFonts w:cs="Helvetica"/>
          <w:sz w:val="24"/>
          <w:szCs w:val="24"/>
          <w:lang w:val="en-GB" w:eastAsia="en-GB"/>
        </w:rPr>
        <w:t xml:space="preserve">Under the PCR 2006, contracts for so-called Part B Services were exempt from the full application of the rules (particularly, there was no requirement to advertise in the OJEU). Under the PCR 2015, the distinction between Part A and Part B Services has been removed and replaced by what is becoming known as the </w:t>
      </w:r>
      <w:r w:rsidR="00DB257D">
        <w:rPr>
          <w:rFonts w:cs="Helvetica"/>
          <w:sz w:val="24"/>
          <w:szCs w:val="24"/>
          <w:lang w:val="en-GB" w:eastAsia="en-GB"/>
        </w:rPr>
        <w:t>‘</w:t>
      </w:r>
      <w:r w:rsidRPr="00774374">
        <w:rPr>
          <w:rFonts w:cs="Helvetica"/>
          <w:sz w:val="24"/>
          <w:szCs w:val="24"/>
          <w:lang w:val="en-GB" w:eastAsia="en-GB"/>
        </w:rPr>
        <w:t>Light Touch</w:t>
      </w:r>
      <w:r w:rsidR="00DB257D">
        <w:rPr>
          <w:rFonts w:cs="Helvetica"/>
          <w:sz w:val="24"/>
          <w:szCs w:val="24"/>
          <w:lang w:val="en-GB" w:eastAsia="en-GB"/>
        </w:rPr>
        <w:t>’</w:t>
      </w:r>
      <w:r w:rsidRPr="00774374">
        <w:rPr>
          <w:rFonts w:cs="Helvetica"/>
          <w:sz w:val="24"/>
          <w:szCs w:val="24"/>
          <w:lang w:val="en-GB" w:eastAsia="en-GB"/>
        </w:rPr>
        <w:t xml:space="preserve"> regime. Details of this regime are at Regulation 74 onwards of the PCR 2015. </w:t>
      </w:r>
    </w:p>
    <w:p w:rsidR="00774374" w:rsidRDefault="00774374" w:rsidP="00C4534A">
      <w:pPr>
        <w:ind w:left="567"/>
        <w:rPr>
          <w:rFonts w:cs="Helvetica"/>
          <w:sz w:val="24"/>
          <w:szCs w:val="24"/>
          <w:lang w:val="en-GB" w:eastAsia="en-GB"/>
        </w:rPr>
      </w:pPr>
    </w:p>
    <w:p w:rsidR="00774374" w:rsidRDefault="00774374" w:rsidP="00C4534A">
      <w:pPr>
        <w:ind w:left="567"/>
        <w:rPr>
          <w:rFonts w:cs="Helvetica"/>
          <w:sz w:val="24"/>
          <w:szCs w:val="24"/>
          <w:lang w:val="en-GB" w:eastAsia="en-GB"/>
        </w:rPr>
      </w:pPr>
      <w:r w:rsidRPr="00774374">
        <w:rPr>
          <w:rFonts w:cs="Helvetica"/>
          <w:sz w:val="24"/>
          <w:szCs w:val="24"/>
          <w:lang w:val="en-GB" w:eastAsia="en-GB"/>
        </w:rPr>
        <w:t xml:space="preserve">A services contract will fall within the scope of the Light Touch regime if it is for the certain types of services listed at Schedule 3 of the PCR 2015. For these Light Touch regime contracts, a higher threshold than that for ordinary service contracts will apply, before the Light Touch regime is applicable. This threshold is set out at Article 4(d) of the Directive and at the time of writing is </w:t>
      </w:r>
      <w:r>
        <w:rPr>
          <w:rFonts w:cs="Helvetica"/>
          <w:sz w:val="24"/>
          <w:szCs w:val="24"/>
          <w:lang w:val="en-GB" w:eastAsia="en-GB"/>
        </w:rPr>
        <w:t>£589,148</w:t>
      </w:r>
      <w:r w:rsidRPr="00774374">
        <w:rPr>
          <w:rFonts w:cs="Helvetica"/>
          <w:sz w:val="24"/>
          <w:szCs w:val="24"/>
          <w:lang w:val="en-GB" w:eastAsia="en-GB"/>
        </w:rPr>
        <w:t xml:space="preserve">. </w:t>
      </w:r>
    </w:p>
    <w:p w:rsidR="00774374" w:rsidRDefault="00774374" w:rsidP="00C4534A">
      <w:pPr>
        <w:ind w:left="567"/>
        <w:rPr>
          <w:rFonts w:cs="Helvetica"/>
          <w:sz w:val="24"/>
          <w:szCs w:val="24"/>
          <w:lang w:val="en-GB" w:eastAsia="en-GB"/>
        </w:rPr>
      </w:pPr>
    </w:p>
    <w:p w:rsidR="00FA3ED9" w:rsidRDefault="00774374" w:rsidP="00C4534A">
      <w:pPr>
        <w:ind w:left="567"/>
        <w:rPr>
          <w:rFonts w:cs="Helvetica"/>
          <w:sz w:val="24"/>
          <w:szCs w:val="24"/>
          <w:lang w:val="en-GB" w:eastAsia="en-GB"/>
        </w:rPr>
      </w:pPr>
      <w:r>
        <w:rPr>
          <w:rFonts w:cs="Helvetica"/>
          <w:sz w:val="24"/>
          <w:szCs w:val="24"/>
          <w:lang w:val="en-GB" w:eastAsia="en-GB"/>
        </w:rPr>
        <w:t>Note</w:t>
      </w:r>
      <w:r w:rsidRPr="00774374">
        <w:rPr>
          <w:rFonts w:cs="Helvetica"/>
          <w:sz w:val="24"/>
          <w:szCs w:val="24"/>
          <w:lang w:val="en-GB" w:eastAsia="en-GB"/>
        </w:rPr>
        <w:t xml:space="preserve"> that the services listed at Schedule 3 of the PCR 2015 do not exactly mirror what used to be categorised as Part B Services under the PCR 2006; if a service is not listed at Schedule 3 of the PCR 2015 it will be subject to the full regime rather than only the Light Touch regime. </w:t>
      </w:r>
      <w:r w:rsidR="00FA3ED9">
        <w:rPr>
          <w:rFonts w:cs="Helvetica"/>
          <w:sz w:val="24"/>
          <w:szCs w:val="24"/>
          <w:lang w:val="en-GB" w:eastAsia="en-GB"/>
        </w:rPr>
        <w:t>Health, Social and Related Services are included in Schedule 3.</w:t>
      </w:r>
    </w:p>
    <w:p w:rsidR="00FA3ED9" w:rsidRDefault="00FA3ED9" w:rsidP="00C4534A">
      <w:pPr>
        <w:ind w:left="567"/>
        <w:rPr>
          <w:rFonts w:cs="Helvetica"/>
          <w:sz w:val="24"/>
          <w:szCs w:val="24"/>
          <w:lang w:val="en-GB" w:eastAsia="en-GB"/>
        </w:rPr>
      </w:pPr>
    </w:p>
    <w:p w:rsidR="00774374" w:rsidRPr="00774374" w:rsidRDefault="00774374" w:rsidP="00C4534A">
      <w:pPr>
        <w:ind w:left="567"/>
        <w:rPr>
          <w:rFonts w:cs="Helvetica"/>
          <w:sz w:val="24"/>
          <w:szCs w:val="24"/>
          <w:lang w:val="en-GB" w:eastAsia="en-GB"/>
        </w:rPr>
      </w:pPr>
      <w:r w:rsidRPr="00774374">
        <w:rPr>
          <w:rFonts w:cs="Helvetica"/>
          <w:sz w:val="24"/>
          <w:szCs w:val="24"/>
          <w:lang w:val="en-GB" w:eastAsia="en-GB"/>
        </w:rPr>
        <w:t>While the Light Touch regime is not prescriptive as to how contracting authorities design their procurement process for Light Touch regime services contracts, it does for the first time require that services contracts that fall within the Light Touch regime are advertised.</w:t>
      </w:r>
    </w:p>
    <w:p w:rsidR="008A45F0" w:rsidRDefault="008A45F0" w:rsidP="00C4534A">
      <w:pPr>
        <w:rPr>
          <w:lang w:val="en-GB"/>
        </w:rPr>
      </w:pPr>
    </w:p>
    <w:p w:rsidR="008A45F0" w:rsidRDefault="008A45F0" w:rsidP="00C4534A">
      <w:pPr>
        <w:pStyle w:val="Heading1"/>
        <w:numPr>
          <w:ilvl w:val="1"/>
          <w:numId w:val="19"/>
        </w:numPr>
        <w:ind w:left="567" w:hanging="567"/>
        <w:rPr>
          <w:rFonts w:eastAsia="Arial"/>
          <w:sz w:val="24"/>
          <w:szCs w:val="24"/>
        </w:rPr>
      </w:pPr>
      <w:bookmarkStart w:id="67" w:name="_Toc454456003"/>
      <w:r w:rsidRPr="008A45F0">
        <w:rPr>
          <w:rFonts w:eastAsia="Arial"/>
          <w:sz w:val="24"/>
          <w:szCs w:val="24"/>
        </w:rPr>
        <w:t>Exemptions for In-House Contracts and Joint Co-Operation</w:t>
      </w:r>
      <w:bookmarkEnd w:id="67"/>
    </w:p>
    <w:p w:rsidR="009B3538" w:rsidRPr="009B3538" w:rsidRDefault="009B3538" w:rsidP="00C4534A">
      <w:pPr>
        <w:rPr>
          <w:rFonts w:eastAsia="Arial"/>
          <w:lang w:val="en-GB"/>
        </w:rPr>
      </w:pPr>
    </w:p>
    <w:p w:rsidR="009B3538" w:rsidRPr="009B3538" w:rsidRDefault="009B3538" w:rsidP="00C4534A">
      <w:pPr>
        <w:ind w:left="567"/>
        <w:rPr>
          <w:rFonts w:cs="Helvetica"/>
          <w:sz w:val="24"/>
          <w:szCs w:val="24"/>
          <w:lang w:val="en-GB" w:eastAsia="en-GB"/>
        </w:rPr>
      </w:pPr>
      <w:r w:rsidRPr="009B3538">
        <w:rPr>
          <w:rFonts w:cs="Helvetica"/>
          <w:sz w:val="24"/>
          <w:szCs w:val="24"/>
          <w:lang w:val="en-GB" w:eastAsia="en-GB"/>
        </w:rPr>
        <w:t>Previously we relied on European case law (particularly, the Teckal and Hamburg cases) for authority on when an in-house contract or joint co-operation arrangement fell outside the scope of the PCR 2006. The PCR 2015 now sets out these exemptions in statute for the first time.</w:t>
      </w:r>
    </w:p>
    <w:p w:rsidR="009B3538" w:rsidRDefault="009B3538" w:rsidP="00C4534A">
      <w:pPr>
        <w:rPr>
          <w:rFonts w:cs="Helvetica"/>
          <w:sz w:val="24"/>
          <w:szCs w:val="24"/>
          <w:lang w:val="en-GB" w:eastAsia="en-GB"/>
        </w:rPr>
      </w:pPr>
    </w:p>
    <w:p w:rsidR="009B3538" w:rsidRDefault="009B3538" w:rsidP="00C4534A">
      <w:pPr>
        <w:ind w:left="567"/>
        <w:rPr>
          <w:rFonts w:cs="Helvetica"/>
          <w:sz w:val="24"/>
          <w:szCs w:val="24"/>
          <w:lang w:val="en-GB" w:eastAsia="en-GB"/>
        </w:rPr>
      </w:pPr>
      <w:r w:rsidRPr="009B3538">
        <w:rPr>
          <w:rFonts w:cs="Helvetica"/>
          <w:sz w:val="24"/>
          <w:szCs w:val="24"/>
          <w:lang w:val="en-GB" w:eastAsia="en-GB"/>
        </w:rPr>
        <w:t xml:space="preserve">Regulation 12 states that a contract will be regarded as an exempt in-house contract where: </w:t>
      </w:r>
    </w:p>
    <w:p w:rsidR="009B3538" w:rsidRPr="009B3538" w:rsidRDefault="009B3538" w:rsidP="00C4534A">
      <w:pPr>
        <w:ind w:left="567"/>
        <w:rPr>
          <w:rFonts w:cs="Helvetica"/>
          <w:sz w:val="24"/>
          <w:szCs w:val="24"/>
          <w:lang w:val="en-GB" w:eastAsia="en-GB"/>
        </w:rPr>
      </w:pPr>
    </w:p>
    <w:p w:rsidR="009B3538" w:rsidRPr="005A7AF7" w:rsidRDefault="00173CAE" w:rsidP="0030281C">
      <w:pPr>
        <w:numPr>
          <w:ilvl w:val="0"/>
          <w:numId w:val="33"/>
        </w:numPr>
        <w:ind w:left="993" w:hanging="426"/>
        <w:rPr>
          <w:rFonts w:eastAsia="Arial"/>
          <w:sz w:val="24"/>
          <w:szCs w:val="24"/>
          <w:lang w:val="en-GB"/>
        </w:rPr>
      </w:pPr>
      <w:r>
        <w:rPr>
          <w:sz w:val="24"/>
          <w:szCs w:val="24"/>
        </w:rPr>
        <w:lastRenderedPageBreak/>
        <w:t>T</w:t>
      </w:r>
      <w:r w:rsidR="009B3538" w:rsidRPr="005A7AF7">
        <w:rPr>
          <w:sz w:val="24"/>
          <w:szCs w:val="24"/>
        </w:rPr>
        <w:t>he contracting authority exercises over the contractor concerned a control which is similar to that which it exercises over its own departments (“similar control” in this context means the contracting authority exercising “a decisive influence over both strategic objectives and significant decisions” of the contractor. It includes where this control is exercised by another body, provided that other body is itself controlled by the contracting authority); and</w:t>
      </w:r>
    </w:p>
    <w:p w:rsidR="009B3538" w:rsidRPr="005A7AF7" w:rsidRDefault="00173CAE" w:rsidP="0030281C">
      <w:pPr>
        <w:numPr>
          <w:ilvl w:val="0"/>
          <w:numId w:val="33"/>
        </w:numPr>
        <w:ind w:left="993" w:hanging="426"/>
        <w:rPr>
          <w:rFonts w:eastAsia="Arial"/>
          <w:sz w:val="24"/>
          <w:szCs w:val="24"/>
          <w:lang w:val="en-GB"/>
        </w:rPr>
      </w:pPr>
      <w:r>
        <w:rPr>
          <w:sz w:val="24"/>
          <w:szCs w:val="24"/>
        </w:rPr>
        <w:t>M</w:t>
      </w:r>
      <w:r w:rsidR="009B3538" w:rsidRPr="005A7AF7">
        <w:rPr>
          <w:sz w:val="24"/>
          <w:szCs w:val="24"/>
        </w:rPr>
        <w:t xml:space="preserve">ore than 80 % of the activities of the contractor are carried out in the performance of tasks entrusted to it by the controlling contracting authority or by other bodies that are themselves controlled by that contracting authority; and </w:t>
      </w:r>
    </w:p>
    <w:p w:rsidR="009B3538" w:rsidRPr="005A7AF7" w:rsidRDefault="00173CAE" w:rsidP="0030281C">
      <w:pPr>
        <w:numPr>
          <w:ilvl w:val="0"/>
          <w:numId w:val="33"/>
        </w:numPr>
        <w:ind w:left="993" w:hanging="426"/>
        <w:rPr>
          <w:rFonts w:eastAsia="Arial"/>
          <w:sz w:val="24"/>
          <w:szCs w:val="24"/>
          <w:lang w:val="en-GB"/>
        </w:rPr>
      </w:pPr>
      <w:r>
        <w:rPr>
          <w:sz w:val="24"/>
          <w:szCs w:val="24"/>
        </w:rPr>
        <w:t>T</w:t>
      </w:r>
      <w:r w:rsidR="009B3538" w:rsidRPr="005A7AF7">
        <w:rPr>
          <w:sz w:val="24"/>
          <w:szCs w:val="24"/>
        </w:rPr>
        <w:t xml:space="preserve">here is no private sector ownership of the contractor, with certain exceptions. </w:t>
      </w:r>
    </w:p>
    <w:p w:rsidR="009B3538" w:rsidRPr="005A7AF7" w:rsidRDefault="009B3538" w:rsidP="00C4534A">
      <w:pPr>
        <w:pStyle w:val="ListParagraph"/>
        <w:rPr>
          <w:sz w:val="24"/>
          <w:szCs w:val="24"/>
        </w:rPr>
      </w:pPr>
    </w:p>
    <w:p w:rsidR="009B3538" w:rsidRPr="009B3538" w:rsidRDefault="009B3538" w:rsidP="00C4534A">
      <w:pPr>
        <w:ind w:left="567"/>
        <w:rPr>
          <w:rFonts w:cs="Helvetica"/>
          <w:sz w:val="24"/>
          <w:szCs w:val="24"/>
          <w:lang w:val="en-GB" w:eastAsia="en-GB"/>
        </w:rPr>
      </w:pPr>
      <w:r w:rsidRPr="009B3538">
        <w:rPr>
          <w:rFonts w:cs="Helvetica"/>
          <w:sz w:val="24"/>
          <w:szCs w:val="24"/>
          <w:lang w:val="en-GB" w:eastAsia="en-GB"/>
        </w:rPr>
        <w:t xml:space="preserve">Regulation 12(2) specifically permits an extension of the Teckal exemption to what can be called “horizontal in-house transactions”. Provided that </w:t>
      </w:r>
      <w:r>
        <w:rPr>
          <w:rFonts w:cs="Helvetica"/>
          <w:sz w:val="24"/>
          <w:szCs w:val="24"/>
          <w:lang w:val="en-GB" w:eastAsia="en-GB"/>
        </w:rPr>
        <w:t xml:space="preserve">the </w:t>
      </w:r>
      <w:r w:rsidRPr="009B3538">
        <w:rPr>
          <w:rFonts w:cs="Helvetica"/>
          <w:sz w:val="24"/>
          <w:szCs w:val="24"/>
          <w:lang w:val="en-GB" w:eastAsia="en-GB"/>
        </w:rPr>
        <w:t xml:space="preserve">three conditions listed above have been met, Regulation 12(2) states the exemption will also apply where "a controlled legal person, also being a contracting authority, awards a contract to its controlling contracting </w:t>
      </w:r>
      <w:r w:rsidR="00E53B76" w:rsidRPr="009B3538">
        <w:rPr>
          <w:rFonts w:cs="Helvetica"/>
          <w:sz w:val="24"/>
          <w:szCs w:val="24"/>
          <w:lang w:val="en-GB" w:eastAsia="en-GB"/>
        </w:rPr>
        <w:t>authority</w:t>
      </w:r>
      <w:r w:rsidRPr="009B3538">
        <w:rPr>
          <w:rFonts w:cs="Helvetica"/>
          <w:sz w:val="24"/>
          <w:szCs w:val="24"/>
          <w:lang w:val="en-GB" w:eastAsia="en-GB"/>
        </w:rPr>
        <w:t xml:space="preserve"> or to another entity that is also controlled by that controlling contracting authority". </w:t>
      </w:r>
    </w:p>
    <w:p w:rsidR="009B3538" w:rsidRPr="009B3538" w:rsidRDefault="009B3538" w:rsidP="00C4534A">
      <w:pPr>
        <w:ind w:left="567"/>
        <w:rPr>
          <w:rFonts w:cs="Helvetica"/>
          <w:sz w:val="24"/>
          <w:szCs w:val="24"/>
          <w:lang w:val="en-GB" w:eastAsia="en-GB"/>
        </w:rPr>
      </w:pPr>
    </w:p>
    <w:p w:rsidR="00E77C77" w:rsidRDefault="009B3538" w:rsidP="00C4534A">
      <w:pPr>
        <w:ind w:left="567"/>
        <w:rPr>
          <w:rFonts w:cs="Helvetica"/>
          <w:sz w:val="24"/>
          <w:szCs w:val="24"/>
          <w:lang w:val="en-GB" w:eastAsia="en-GB"/>
        </w:rPr>
      </w:pPr>
      <w:r w:rsidRPr="009B3538">
        <w:rPr>
          <w:rFonts w:cs="Helvetica"/>
          <w:sz w:val="24"/>
          <w:szCs w:val="24"/>
          <w:lang w:val="en-GB" w:eastAsia="en-GB"/>
        </w:rPr>
        <w:t>Regulation 12 also provides an exemption for joint co-operation between contracting a</w:t>
      </w:r>
      <w:r w:rsidR="00E77C77">
        <w:rPr>
          <w:rFonts w:cs="Helvetica"/>
          <w:sz w:val="24"/>
          <w:szCs w:val="24"/>
          <w:lang w:val="en-GB" w:eastAsia="en-GB"/>
        </w:rPr>
        <w:t>uthorities where</w:t>
      </w:r>
      <w:r w:rsidRPr="009B3538">
        <w:rPr>
          <w:rFonts w:cs="Helvetica"/>
          <w:sz w:val="24"/>
          <w:szCs w:val="24"/>
          <w:lang w:val="en-GB" w:eastAsia="en-GB"/>
        </w:rPr>
        <w:t xml:space="preserve">: </w:t>
      </w:r>
    </w:p>
    <w:p w:rsidR="00E77C77" w:rsidRDefault="00E77C77" w:rsidP="00C4534A">
      <w:pPr>
        <w:ind w:left="567"/>
        <w:rPr>
          <w:rFonts w:cs="Helvetica"/>
          <w:sz w:val="24"/>
          <w:szCs w:val="24"/>
          <w:lang w:val="en-GB" w:eastAsia="en-GB"/>
        </w:rPr>
      </w:pPr>
    </w:p>
    <w:p w:rsidR="00E77C77"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 xml:space="preserve">he contract establishes joint co-operation in the performance of public services with a view to achieving mutual objectives; and </w:t>
      </w:r>
    </w:p>
    <w:p w:rsidR="00E77C77"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 xml:space="preserve">he implementation of the co-operation is governed only by the public interest; and </w:t>
      </w:r>
    </w:p>
    <w:p w:rsidR="009B3538"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he participating authorities perform “on the open market” less than 20% of activities concerned by the co-operation.</w:t>
      </w:r>
    </w:p>
    <w:p w:rsidR="008C3F8D" w:rsidRPr="009B3538" w:rsidRDefault="008C3F8D" w:rsidP="00C4534A">
      <w:pPr>
        <w:ind w:left="567"/>
        <w:rPr>
          <w:rFonts w:cs="Helvetica"/>
          <w:sz w:val="24"/>
          <w:szCs w:val="24"/>
          <w:lang w:val="en-GB" w:eastAsia="en-GB"/>
        </w:rPr>
      </w:pPr>
    </w:p>
    <w:p w:rsidR="00672DE2" w:rsidRDefault="00672DE2" w:rsidP="00C4534A">
      <w:pPr>
        <w:rPr>
          <w:lang w:val="en-GB"/>
        </w:rPr>
      </w:pPr>
    </w:p>
    <w:p w:rsidR="00672DE2" w:rsidRDefault="00672DE2" w:rsidP="00C4534A">
      <w:pPr>
        <w:pStyle w:val="Heading1"/>
        <w:numPr>
          <w:ilvl w:val="1"/>
          <w:numId w:val="19"/>
        </w:numPr>
        <w:ind w:left="567" w:hanging="567"/>
        <w:rPr>
          <w:rFonts w:eastAsia="Arial"/>
          <w:sz w:val="24"/>
          <w:szCs w:val="24"/>
        </w:rPr>
      </w:pPr>
      <w:bookmarkStart w:id="68" w:name="_Toc454456004"/>
      <w:r w:rsidRPr="00351938">
        <w:rPr>
          <w:rFonts w:eastAsia="Arial"/>
          <w:sz w:val="24"/>
          <w:szCs w:val="24"/>
        </w:rPr>
        <w:t>Choice of Procedure</w:t>
      </w:r>
      <w:bookmarkEnd w:id="68"/>
    </w:p>
    <w:p w:rsidR="005A7AF7" w:rsidRPr="005A7AF7" w:rsidRDefault="005A7AF7" w:rsidP="00C4534A">
      <w:pPr>
        <w:rPr>
          <w:lang w:val="en-GB"/>
        </w:rPr>
      </w:pPr>
    </w:p>
    <w:p w:rsidR="00672DE2" w:rsidRDefault="00E53B76" w:rsidP="00E53B76">
      <w:pPr>
        <w:pStyle w:val="Heading2"/>
        <w:numPr>
          <w:ilvl w:val="0"/>
          <w:numId w:val="0"/>
        </w:numPr>
        <w:ind w:left="567"/>
        <w:jc w:val="left"/>
        <w:rPr>
          <w:sz w:val="24"/>
          <w:szCs w:val="24"/>
          <w:lang w:val="en-GB"/>
        </w:rPr>
      </w:pPr>
      <w:bookmarkStart w:id="69" w:name="_Toc454456005"/>
      <w:r>
        <w:rPr>
          <w:sz w:val="24"/>
          <w:szCs w:val="24"/>
          <w:lang w:val="en-GB"/>
        </w:rPr>
        <w:t>2.15.1</w:t>
      </w:r>
      <w:r>
        <w:rPr>
          <w:sz w:val="24"/>
          <w:szCs w:val="24"/>
          <w:lang w:val="en-GB"/>
        </w:rPr>
        <w:tab/>
        <w:t>N</w:t>
      </w:r>
      <w:r w:rsidR="005A7AF7" w:rsidRPr="005A7AF7">
        <w:rPr>
          <w:sz w:val="24"/>
          <w:szCs w:val="24"/>
          <w:lang w:val="en-GB"/>
        </w:rPr>
        <w:t>ew Procedures Available</w:t>
      </w:r>
      <w:bookmarkEnd w:id="69"/>
    </w:p>
    <w:p w:rsidR="005A7AF7" w:rsidRDefault="005A7AF7" w:rsidP="00C4534A">
      <w:pPr>
        <w:rPr>
          <w:lang w:val="en-GB" w:eastAsia="en-GB"/>
        </w:rPr>
      </w:pPr>
    </w:p>
    <w:p w:rsidR="005A7AF7" w:rsidRPr="005A7AF7" w:rsidRDefault="005A7AF7" w:rsidP="00C4534A">
      <w:pPr>
        <w:ind w:left="567"/>
        <w:rPr>
          <w:sz w:val="24"/>
          <w:szCs w:val="24"/>
        </w:rPr>
      </w:pPr>
      <w:r w:rsidRPr="005A7AF7">
        <w:rPr>
          <w:sz w:val="24"/>
          <w:szCs w:val="24"/>
        </w:rPr>
        <w:t xml:space="preserve">Under the PCR 2015 five standard procurement procedures are available, as follows: </w:t>
      </w:r>
    </w:p>
    <w:p w:rsidR="005A7AF7" w:rsidRPr="005A7AF7" w:rsidRDefault="005A7AF7" w:rsidP="00C4534A">
      <w:pPr>
        <w:ind w:left="567"/>
        <w:rPr>
          <w:sz w:val="24"/>
          <w:szCs w:val="24"/>
        </w:rPr>
      </w:pPr>
    </w:p>
    <w:p w:rsidR="005A7AF7" w:rsidRPr="005A7AF7" w:rsidRDefault="005A7AF7" w:rsidP="00C4534A">
      <w:pPr>
        <w:numPr>
          <w:ilvl w:val="0"/>
          <w:numId w:val="35"/>
        </w:numPr>
        <w:ind w:left="993" w:hanging="426"/>
        <w:rPr>
          <w:sz w:val="24"/>
          <w:szCs w:val="24"/>
        </w:rPr>
      </w:pPr>
      <w:r w:rsidRPr="005A7AF7">
        <w:rPr>
          <w:sz w:val="24"/>
          <w:szCs w:val="24"/>
        </w:rPr>
        <w:t xml:space="preserve">Open (Regulation 27); </w:t>
      </w:r>
    </w:p>
    <w:p w:rsidR="005A7AF7" w:rsidRPr="005A7AF7" w:rsidRDefault="005A7AF7" w:rsidP="00C4534A">
      <w:pPr>
        <w:numPr>
          <w:ilvl w:val="0"/>
          <w:numId w:val="35"/>
        </w:numPr>
        <w:ind w:left="993" w:hanging="426"/>
        <w:rPr>
          <w:sz w:val="24"/>
          <w:szCs w:val="24"/>
        </w:rPr>
      </w:pPr>
      <w:r w:rsidRPr="005A7AF7">
        <w:rPr>
          <w:sz w:val="24"/>
          <w:szCs w:val="24"/>
        </w:rPr>
        <w:t xml:space="preserve">Restricted (Regulation 28); </w:t>
      </w:r>
    </w:p>
    <w:p w:rsidR="005A7AF7" w:rsidRPr="005A7AF7" w:rsidRDefault="005A7AF7" w:rsidP="00C4534A">
      <w:pPr>
        <w:numPr>
          <w:ilvl w:val="0"/>
          <w:numId w:val="35"/>
        </w:numPr>
        <w:ind w:left="993" w:hanging="426"/>
        <w:rPr>
          <w:sz w:val="24"/>
          <w:szCs w:val="24"/>
        </w:rPr>
      </w:pPr>
      <w:r w:rsidRPr="005A7AF7">
        <w:rPr>
          <w:sz w:val="24"/>
          <w:szCs w:val="24"/>
        </w:rPr>
        <w:t xml:space="preserve">Competitive with negotiation (Regulation 29); </w:t>
      </w:r>
    </w:p>
    <w:p w:rsidR="005A7AF7" w:rsidRPr="005A7AF7" w:rsidRDefault="005A7AF7" w:rsidP="00C4534A">
      <w:pPr>
        <w:numPr>
          <w:ilvl w:val="0"/>
          <w:numId w:val="35"/>
        </w:numPr>
        <w:ind w:left="993" w:hanging="426"/>
        <w:rPr>
          <w:sz w:val="24"/>
          <w:szCs w:val="24"/>
        </w:rPr>
      </w:pPr>
      <w:r w:rsidRPr="005A7AF7">
        <w:rPr>
          <w:sz w:val="24"/>
          <w:szCs w:val="24"/>
        </w:rPr>
        <w:t xml:space="preserve">Competitive dialogue (Regulation 30); and </w:t>
      </w:r>
    </w:p>
    <w:p w:rsidR="005A7AF7" w:rsidRPr="005A7AF7" w:rsidRDefault="005A7AF7" w:rsidP="00C4534A">
      <w:pPr>
        <w:numPr>
          <w:ilvl w:val="0"/>
          <w:numId w:val="35"/>
        </w:numPr>
        <w:ind w:left="993" w:hanging="426"/>
        <w:rPr>
          <w:sz w:val="24"/>
          <w:szCs w:val="24"/>
          <w:lang w:val="en-GB" w:eastAsia="en-GB"/>
        </w:rPr>
      </w:pPr>
      <w:r w:rsidRPr="005A7AF7">
        <w:rPr>
          <w:sz w:val="24"/>
          <w:szCs w:val="24"/>
        </w:rPr>
        <w:t>Innovation partnership (Regulation 31).</w:t>
      </w:r>
    </w:p>
    <w:p w:rsidR="005A7AF7" w:rsidRDefault="005A7AF7" w:rsidP="00C4534A">
      <w:pPr>
        <w:rPr>
          <w:lang w:val="en-GB" w:eastAsia="en-GB"/>
        </w:rPr>
      </w:pPr>
    </w:p>
    <w:p w:rsidR="005A7AF7" w:rsidRDefault="00E53B76" w:rsidP="00E53B76">
      <w:pPr>
        <w:pStyle w:val="Heading2"/>
        <w:numPr>
          <w:ilvl w:val="0"/>
          <w:numId w:val="0"/>
        </w:numPr>
        <w:ind w:left="1418" w:hanging="851"/>
        <w:jc w:val="left"/>
        <w:rPr>
          <w:sz w:val="24"/>
          <w:szCs w:val="24"/>
          <w:lang w:val="en-GB"/>
        </w:rPr>
      </w:pPr>
      <w:bookmarkStart w:id="70" w:name="_Toc454456006"/>
      <w:r>
        <w:rPr>
          <w:sz w:val="24"/>
          <w:szCs w:val="24"/>
          <w:lang w:val="en-GB"/>
        </w:rPr>
        <w:t>2.15.2</w:t>
      </w:r>
      <w:r>
        <w:rPr>
          <w:sz w:val="24"/>
          <w:szCs w:val="24"/>
          <w:lang w:val="en-GB"/>
        </w:rPr>
        <w:tab/>
      </w:r>
      <w:r w:rsidR="005A7AF7" w:rsidRPr="005A7AF7">
        <w:rPr>
          <w:sz w:val="24"/>
          <w:szCs w:val="24"/>
          <w:lang w:val="en-GB"/>
        </w:rPr>
        <w:t xml:space="preserve">Greater freedom to use competitive with negotiation and </w:t>
      </w:r>
      <w:r w:rsidR="00C4534A">
        <w:rPr>
          <w:sz w:val="24"/>
          <w:szCs w:val="24"/>
          <w:lang w:val="en-GB"/>
        </w:rPr>
        <w:t>c</w:t>
      </w:r>
      <w:r w:rsidR="005A7AF7" w:rsidRPr="005A7AF7">
        <w:rPr>
          <w:sz w:val="24"/>
          <w:szCs w:val="24"/>
          <w:lang w:val="en-GB"/>
        </w:rPr>
        <w:t>ompetitive dialogue procedures</w:t>
      </w:r>
      <w:bookmarkEnd w:id="70"/>
    </w:p>
    <w:p w:rsidR="005A7AF7" w:rsidRDefault="005A7AF7" w:rsidP="00C4534A">
      <w:pPr>
        <w:rPr>
          <w:lang w:val="en-GB" w:eastAsia="en-GB"/>
        </w:rPr>
      </w:pPr>
    </w:p>
    <w:p w:rsidR="005A7AF7" w:rsidRPr="005A7AF7" w:rsidRDefault="00E53B76" w:rsidP="00C4534A">
      <w:pPr>
        <w:ind w:left="567"/>
        <w:rPr>
          <w:sz w:val="24"/>
          <w:szCs w:val="24"/>
        </w:rPr>
      </w:pPr>
      <w:r w:rsidRPr="005A7AF7">
        <w:rPr>
          <w:sz w:val="24"/>
          <w:szCs w:val="24"/>
        </w:rPr>
        <w:lastRenderedPageBreak/>
        <w:t xml:space="preserve">Under the PCR 2015 these procedures can now be used when: </w:t>
      </w:r>
    </w:p>
    <w:p w:rsidR="005A7AF7" w:rsidRPr="005A7AF7" w:rsidRDefault="005A7AF7" w:rsidP="00C4534A">
      <w:pPr>
        <w:rPr>
          <w:sz w:val="24"/>
          <w:szCs w:val="24"/>
        </w:rPr>
      </w:pPr>
    </w:p>
    <w:p w:rsidR="005A7AF7" w:rsidRPr="005A7AF7" w:rsidRDefault="00173CAE" w:rsidP="00C4534A">
      <w:pPr>
        <w:numPr>
          <w:ilvl w:val="0"/>
          <w:numId w:val="36"/>
        </w:numPr>
        <w:ind w:left="993" w:hanging="426"/>
        <w:rPr>
          <w:sz w:val="24"/>
          <w:szCs w:val="24"/>
        </w:rPr>
      </w:pPr>
      <w:r>
        <w:rPr>
          <w:sz w:val="24"/>
          <w:szCs w:val="24"/>
        </w:rPr>
        <w:t>N</w:t>
      </w:r>
      <w:r w:rsidR="005A7AF7" w:rsidRPr="005A7AF7">
        <w:rPr>
          <w:sz w:val="24"/>
          <w:szCs w:val="24"/>
        </w:rPr>
        <w:t xml:space="preserve">eeds can’t be met without adapting readily available solutions; or </w:t>
      </w:r>
    </w:p>
    <w:p w:rsidR="005A7AF7" w:rsidRPr="005A7AF7" w:rsidRDefault="00173CAE" w:rsidP="00C4534A">
      <w:pPr>
        <w:numPr>
          <w:ilvl w:val="0"/>
          <w:numId w:val="36"/>
        </w:numPr>
        <w:ind w:left="993" w:hanging="426"/>
        <w:rPr>
          <w:sz w:val="24"/>
          <w:szCs w:val="24"/>
        </w:rPr>
      </w:pPr>
      <w:r>
        <w:rPr>
          <w:sz w:val="24"/>
          <w:szCs w:val="24"/>
        </w:rPr>
        <w:t>R</w:t>
      </w:r>
      <w:r w:rsidR="005A7AF7" w:rsidRPr="005A7AF7">
        <w:rPr>
          <w:sz w:val="24"/>
          <w:szCs w:val="24"/>
        </w:rPr>
        <w:t xml:space="preserve">equirements involve design or innovative solutions; or </w:t>
      </w:r>
    </w:p>
    <w:p w:rsidR="005A7AF7" w:rsidRPr="005A7AF7" w:rsidRDefault="00173CAE" w:rsidP="00C4534A">
      <w:pPr>
        <w:numPr>
          <w:ilvl w:val="0"/>
          <w:numId w:val="36"/>
        </w:numPr>
        <w:ind w:left="993" w:hanging="426"/>
        <w:rPr>
          <w:sz w:val="24"/>
          <w:szCs w:val="24"/>
        </w:rPr>
      </w:pPr>
      <w:r>
        <w:rPr>
          <w:sz w:val="24"/>
          <w:szCs w:val="24"/>
        </w:rPr>
        <w:t>T</w:t>
      </w:r>
      <w:r w:rsidR="005A7AF7" w:rsidRPr="005A7AF7">
        <w:rPr>
          <w:sz w:val="24"/>
          <w:szCs w:val="24"/>
        </w:rPr>
        <w:t xml:space="preserve">he contract cannot be awarded without negotiation due to nature, complexity, legal or financial make up or risks attached; or </w:t>
      </w:r>
    </w:p>
    <w:p w:rsidR="005A7AF7" w:rsidRPr="005A7AF7" w:rsidRDefault="00173CAE" w:rsidP="00C4534A">
      <w:pPr>
        <w:numPr>
          <w:ilvl w:val="0"/>
          <w:numId w:val="36"/>
        </w:numPr>
        <w:ind w:left="993" w:hanging="426"/>
        <w:rPr>
          <w:sz w:val="24"/>
          <w:szCs w:val="24"/>
        </w:rPr>
      </w:pPr>
      <w:r>
        <w:rPr>
          <w:sz w:val="24"/>
          <w:szCs w:val="24"/>
        </w:rPr>
        <w:t>T</w:t>
      </w:r>
      <w:r w:rsidR="005A7AF7" w:rsidRPr="005A7AF7">
        <w:rPr>
          <w:sz w:val="24"/>
          <w:szCs w:val="24"/>
        </w:rPr>
        <w:t xml:space="preserve">he specifications can’t be established with sufficient precision; or </w:t>
      </w:r>
    </w:p>
    <w:p w:rsidR="005A7AF7" w:rsidRPr="00C75610" w:rsidRDefault="00173CAE" w:rsidP="00C4534A">
      <w:pPr>
        <w:numPr>
          <w:ilvl w:val="0"/>
          <w:numId w:val="36"/>
        </w:numPr>
        <w:ind w:left="993" w:hanging="426"/>
        <w:rPr>
          <w:sz w:val="24"/>
          <w:szCs w:val="24"/>
          <w:lang w:val="en-GB" w:eastAsia="en-GB"/>
        </w:rPr>
      </w:pPr>
      <w:r>
        <w:rPr>
          <w:sz w:val="24"/>
          <w:szCs w:val="24"/>
        </w:rPr>
        <w:t>F</w:t>
      </w:r>
      <w:r w:rsidR="005A7AF7" w:rsidRPr="005A7AF7">
        <w:rPr>
          <w:sz w:val="24"/>
          <w:szCs w:val="24"/>
        </w:rPr>
        <w:t>ollowing an open/restricted procedure, where only irregular or unacceptable tenders were submitted.</w:t>
      </w:r>
    </w:p>
    <w:p w:rsidR="00C75610" w:rsidRDefault="00C75610" w:rsidP="00C75610">
      <w:pPr>
        <w:rPr>
          <w:sz w:val="24"/>
          <w:szCs w:val="24"/>
        </w:rPr>
      </w:pPr>
    </w:p>
    <w:p w:rsidR="00C75610" w:rsidRPr="005A7AF7" w:rsidRDefault="00C75610" w:rsidP="00C75610">
      <w:pPr>
        <w:rPr>
          <w:sz w:val="24"/>
          <w:szCs w:val="24"/>
          <w:lang w:val="en-GB" w:eastAsia="en-GB"/>
        </w:rPr>
      </w:pPr>
    </w:p>
    <w:p w:rsidR="005A7AF7" w:rsidRPr="005A7AF7" w:rsidRDefault="005A7AF7" w:rsidP="00C4534A">
      <w:pPr>
        <w:rPr>
          <w:lang w:val="en-GB" w:eastAsia="en-GB"/>
        </w:rPr>
      </w:pPr>
    </w:p>
    <w:p w:rsidR="00672DE2" w:rsidRDefault="00672DE2" w:rsidP="00C4534A">
      <w:pPr>
        <w:pStyle w:val="Heading1"/>
        <w:numPr>
          <w:ilvl w:val="1"/>
          <w:numId w:val="19"/>
        </w:numPr>
        <w:ind w:left="567" w:hanging="567"/>
        <w:rPr>
          <w:rFonts w:eastAsia="Arial"/>
          <w:sz w:val="24"/>
          <w:szCs w:val="24"/>
        </w:rPr>
      </w:pPr>
      <w:bookmarkStart w:id="71" w:name="_Toc454456007"/>
      <w:r w:rsidRPr="00351938">
        <w:rPr>
          <w:rFonts w:eastAsia="Arial"/>
          <w:sz w:val="24"/>
          <w:szCs w:val="24"/>
        </w:rPr>
        <w:t>Timescales</w:t>
      </w:r>
      <w:bookmarkEnd w:id="71"/>
    </w:p>
    <w:p w:rsidR="00567C4D" w:rsidRDefault="00567C4D" w:rsidP="00C4534A">
      <w:pPr>
        <w:rPr>
          <w:lang w:val="en-GB"/>
        </w:rPr>
      </w:pPr>
    </w:p>
    <w:p w:rsidR="00567C4D" w:rsidRDefault="00567C4D" w:rsidP="00C4534A">
      <w:pPr>
        <w:ind w:left="567"/>
        <w:rPr>
          <w:sz w:val="24"/>
          <w:szCs w:val="24"/>
          <w:lang w:val="en-GB"/>
        </w:rPr>
      </w:pPr>
      <w:r w:rsidRPr="00567C4D">
        <w:rPr>
          <w:sz w:val="24"/>
          <w:szCs w:val="24"/>
          <w:lang w:val="en-GB"/>
        </w:rPr>
        <w:t xml:space="preserve">Timescales for all the procedures have been shortened; please refer to </w:t>
      </w:r>
      <w:r>
        <w:rPr>
          <w:sz w:val="24"/>
          <w:szCs w:val="24"/>
          <w:lang w:val="en-GB"/>
        </w:rPr>
        <w:t xml:space="preserve">the </w:t>
      </w:r>
      <w:proofErr w:type="spellStart"/>
      <w:r w:rsidR="001A57CE">
        <w:rPr>
          <w:sz w:val="24"/>
          <w:szCs w:val="24"/>
          <w:lang w:val="en-GB"/>
        </w:rPr>
        <w:t>SYPS</w:t>
      </w:r>
      <w:r>
        <w:rPr>
          <w:sz w:val="24"/>
          <w:szCs w:val="24"/>
          <w:lang w:val="en-GB"/>
        </w:rPr>
        <w:t>for</w:t>
      </w:r>
      <w:proofErr w:type="spellEnd"/>
      <w:r>
        <w:rPr>
          <w:sz w:val="24"/>
          <w:szCs w:val="24"/>
          <w:lang w:val="en-GB"/>
        </w:rPr>
        <w:t xml:space="preserve"> advice on procurement timescales.</w:t>
      </w:r>
    </w:p>
    <w:p w:rsidR="00567C4D" w:rsidRDefault="00567C4D" w:rsidP="00C4534A">
      <w:pPr>
        <w:ind w:left="567"/>
        <w:rPr>
          <w:sz w:val="24"/>
          <w:szCs w:val="24"/>
          <w:lang w:val="en-GB"/>
        </w:rPr>
      </w:pPr>
    </w:p>
    <w:p w:rsidR="00567C4D" w:rsidRDefault="000A670B" w:rsidP="00C4534A">
      <w:pPr>
        <w:ind w:left="567"/>
        <w:rPr>
          <w:sz w:val="24"/>
          <w:szCs w:val="24"/>
          <w:lang w:val="en-GB"/>
        </w:rPr>
      </w:pPr>
      <w:r>
        <w:rPr>
          <w:sz w:val="24"/>
          <w:szCs w:val="24"/>
          <w:lang w:val="en-GB"/>
        </w:rPr>
        <w:t>Commissioners should note that there is a</w:t>
      </w:r>
      <w:r w:rsidRPr="000A670B">
        <w:rPr>
          <w:sz w:val="24"/>
          <w:szCs w:val="24"/>
          <w:lang w:val="en-GB"/>
        </w:rPr>
        <w:t xml:space="preserve"> requirement at Regulation 47(3) to extend time limits where information requested by bidders is not provided to them at least 6 days prior to the bid deadline or where significant changes are made to the procurement documents (for example, such changes could perhaps be needed because the contracting authority has had to rush the preparation of the procurement documents in order make these available electronically from day one, in accordance with Regulation 53</w:t>
      </w:r>
      <w:r w:rsidR="0030281C">
        <w:rPr>
          <w:sz w:val="24"/>
          <w:szCs w:val="24"/>
          <w:lang w:val="en-GB"/>
        </w:rPr>
        <w:t>)</w:t>
      </w:r>
      <w:r>
        <w:rPr>
          <w:sz w:val="24"/>
          <w:szCs w:val="24"/>
          <w:lang w:val="en-GB"/>
        </w:rPr>
        <w:t>.</w:t>
      </w:r>
    </w:p>
    <w:p w:rsidR="008C3F8D" w:rsidRDefault="008C3F8D" w:rsidP="00C4534A">
      <w:pPr>
        <w:ind w:left="567"/>
        <w:rPr>
          <w:sz w:val="24"/>
          <w:szCs w:val="24"/>
          <w:lang w:val="en-GB"/>
        </w:rPr>
      </w:pPr>
    </w:p>
    <w:p w:rsidR="008C3F8D" w:rsidRDefault="008C3F8D" w:rsidP="00C4534A">
      <w:pPr>
        <w:pStyle w:val="Heading1"/>
        <w:numPr>
          <w:ilvl w:val="1"/>
          <w:numId w:val="19"/>
        </w:numPr>
        <w:ind w:left="567" w:hanging="567"/>
        <w:rPr>
          <w:rFonts w:eastAsia="Arial"/>
          <w:sz w:val="24"/>
          <w:szCs w:val="24"/>
        </w:rPr>
      </w:pPr>
      <w:bookmarkStart w:id="72" w:name="_Toc454456008"/>
      <w:r w:rsidRPr="008C3F8D">
        <w:rPr>
          <w:rFonts w:eastAsia="Arial"/>
          <w:sz w:val="24"/>
          <w:szCs w:val="24"/>
        </w:rPr>
        <w:t xml:space="preserve">Selection </w:t>
      </w:r>
      <w:r w:rsidR="00E319BE">
        <w:rPr>
          <w:rFonts w:eastAsia="Arial"/>
          <w:sz w:val="24"/>
          <w:szCs w:val="24"/>
        </w:rPr>
        <w:t xml:space="preserve">(Pre-Qualification) </w:t>
      </w:r>
      <w:r w:rsidRPr="008C3F8D">
        <w:rPr>
          <w:rFonts w:eastAsia="Arial"/>
          <w:sz w:val="24"/>
          <w:szCs w:val="24"/>
        </w:rPr>
        <w:t>Stage</w:t>
      </w:r>
      <w:bookmarkEnd w:id="72"/>
    </w:p>
    <w:p w:rsidR="008C3F8D" w:rsidRDefault="008C3F8D" w:rsidP="00C4534A">
      <w:pPr>
        <w:rPr>
          <w:lang w:val="en-GB"/>
        </w:rPr>
      </w:pPr>
    </w:p>
    <w:p w:rsidR="00756738" w:rsidRDefault="00E53B76" w:rsidP="00E53B76">
      <w:pPr>
        <w:pStyle w:val="Heading2"/>
        <w:numPr>
          <w:ilvl w:val="0"/>
          <w:numId w:val="0"/>
        </w:numPr>
        <w:ind w:left="993" w:hanging="426"/>
        <w:jc w:val="left"/>
        <w:rPr>
          <w:sz w:val="24"/>
          <w:szCs w:val="24"/>
          <w:lang w:val="en-GB"/>
        </w:rPr>
      </w:pPr>
      <w:bookmarkStart w:id="73" w:name="_Toc454456009"/>
      <w:r>
        <w:rPr>
          <w:sz w:val="24"/>
          <w:szCs w:val="24"/>
          <w:lang w:val="en-GB"/>
        </w:rPr>
        <w:t>2.17.1</w:t>
      </w:r>
      <w:r>
        <w:rPr>
          <w:sz w:val="24"/>
          <w:szCs w:val="24"/>
          <w:lang w:val="en-GB"/>
        </w:rPr>
        <w:tab/>
      </w:r>
      <w:r w:rsidR="00756738" w:rsidRPr="00756738">
        <w:rPr>
          <w:sz w:val="24"/>
          <w:szCs w:val="24"/>
          <w:lang w:val="en-GB"/>
        </w:rPr>
        <w:t>New grounds for mandatory exclusion</w:t>
      </w:r>
      <w:bookmarkEnd w:id="73"/>
    </w:p>
    <w:p w:rsidR="00756738" w:rsidRDefault="00756738" w:rsidP="00C4534A">
      <w:pPr>
        <w:rPr>
          <w:lang w:val="en-GB" w:eastAsia="en-GB"/>
        </w:rPr>
      </w:pPr>
    </w:p>
    <w:p w:rsidR="00756738" w:rsidRDefault="00756738" w:rsidP="00C4534A">
      <w:pPr>
        <w:ind w:left="567"/>
        <w:rPr>
          <w:sz w:val="24"/>
          <w:szCs w:val="24"/>
          <w:lang w:val="en-GB"/>
        </w:rPr>
      </w:pPr>
      <w:r w:rsidRPr="00756738">
        <w:rPr>
          <w:sz w:val="24"/>
          <w:szCs w:val="24"/>
          <w:lang w:val="en-GB"/>
        </w:rPr>
        <w:t>The PCR 2015 has updated the list of offences set out at Regulation 57(1). New offences include those under the Counter Terrorism Act 2008 and the Serious Crime Act 2007. In addition, for example, where a supplier has failed to pay taxes or social security contributions and there has been a binding judgment or decision in the case, that supplier must be excluded (Regulation 57(3)).</w:t>
      </w:r>
    </w:p>
    <w:p w:rsidR="00756738" w:rsidRDefault="00756738" w:rsidP="00C4534A">
      <w:pPr>
        <w:ind w:left="567"/>
        <w:rPr>
          <w:sz w:val="24"/>
          <w:szCs w:val="24"/>
          <w:lang w:val="en-GB"/>
        </w:rPr>
      </w:pPr>
    </w:p>
    <w:p w:rsidR="00756738" w:rsidRDefault="00E53B76" w:rsidP="00E53B76">
      <w:pPr>
        <w:pStyle w:val="Heading2"/>
        <w:numPr>
          <w:ilvl w:val="0"/>
          <w:numId w:val="0"/>
        </w:numPr>
        <w:ind w:left="567"/>
        <w:jc w:val="left"/>
        <w:rPr>
          <w:sz w:val="24"/>
          <w:szCs w:val="24"/>
          <w:lang w:val="en-GB"/>
        </w:rPr>
      </w:pPr>
      <w:bookmarkStart w:id="74" w:name="_Toc454456010"/>
      <w:r>
        <w:rPr>
          <w:sz w:val="24"/>
          <w:szCs w:val="24"/>
          <w:lang w:val="en-GB"/>
        </w:rPr>
        <w:t>2.17.2</w:t>
      </w:r>
      <w:r>
        <w:rPr>
          <w:sz w:val="24"/>
          <w:szCs w:val="24"/>
          <w:lang w:val="en-GB"/>
        </w:rPr>
        <w:tab/>
      </w:r>
      <w:r w:rsidR="00756738">
        <w:rPr>
          <w:sz w:val="24"/>
          <w:szCs w:val="24"/>
          <w:lang w:val="en-GB"/>
        </w:rPr>
        <w:t>Extension of grounds for discretionary exclusion</w:t>
      </w:r>
      <w:bookmarkEnd w:id="74"/>
    </w:p>
    <w:p w:rsidR="00756738" w:rsidRDefault="00756738" w:rsidP="00C4534A">
      <w:pPr>
        <w:rPr>
          <w:lang w:val="en-GB" w:eastAsia="en-GB"/>
        </w:rPr>
      </w:pPr>
    </w:p>
    <w:p w:rsidR="00756738" w:rsidRPr="00756738" w:rsidRDefault="00756738" w:rsidP="00C4534A">
      <w:pPr>
        <w:ind w:left="567"/>
        <w:rPr>
          <w:sz w:val="24"/>
          <w:szCs w:val="24"/>
          <w:lang w:val="en-GB"/>
        </w:rPr>
      </w:pPr>
      <w:r w:rsidRPr="00756738">
        <w:rPr>
          <w:sz w:val="24"/>
          <w:szCs w:val="24"/>
          <w:lang w:val="en-GB"/>
        </w:rPr>
        <w:t xml:space="preserve">Regulation 57 includes new grounds for discretionary exclusion which </w:t>
      </w:r>
      <w:r w:rsidR="001A57CE">
        <w:rPr>
          <w:sz w:val="24"/>
          <w:szCs w:val="24"/>
          <w:lang w:val="en-GB"/>
        </w:rPr>
        <w:t>S</w:t>
      </w:r>
      <w:r>
        <w:rPr>
          <w:sz w:val="24"/>
          <w:szCs w:val="24"/>
          <w:lang w:val="en-GB"/>
        </w:rPr>
        <w:t>CCG</w:t>
      </w:r>
      <w:r w:rsidRPr="00756738">
        <w:rPr>
          <w:sz w:val="24"/>
          <w:szCs w:val="24"/>
          <w:lang w:val="en-GB"/>
        </w:rPr>
        <w:t xml:space="preserve"> will need to address, for example, where the supplier has: </w:t>
      </w:r>
    </w:p>
    <w:p w:rsidR="00756738" w:rsidRDefault="00756738" w:rsidP="00C4534A"/>
    <w:p w:rsidR="00756738" w:rsidRPr="00756738" w:rsidRDefault="00C4534A" w:rsidP="00C4534A">
      <w:pPr>
        <w:numPr>
          <w:ilvl w:val="0"/>
          <w:numId w:val="36"/>
        </w:numPr>
        <w:ind w:left="993" w:hanging="426"/>
        <w:rPr>
          <w:sz w:val="24"/>
          <w:szCs w:val="24"/>
        </w:rPr>
      </w:pPr>
      <w:r w:rsidRPr="00756738">
        <w:rPr>
          <w:sz w:val="24"/>
          <w:szCs w:val="24"/>
        </w:rPr>
        <w:t>F</w:t>
      </w:r>
      <w:r w:rsidR="00756738" w:rsidRPr="00756738">
        <w:rPr>
          <w:sz w:val="24"/>
          <w:szCs w:val="24"/>
        </w:rPr>
        <w:t xml:space="preserve">ailed to pay taxes or social security contributions and the contracting authority can demonstrate this by ‘appropriate means’ even in the absence of a formal ruling; or o performed poorly on previous contracts, resulting in termination or damages or the equivalent; or </w:t>
      </w:r>
    </w:p>
    <w:p w:rsidR="00756738" w:rsidRPr="00756738" w:rsidRDefault="00173CAE" w:rsidP="00C4534A">
      <w:pPr>
        <w:numPr>
          <w:ilvl w:val="0"/>
          <w:numId w:val="36"/>
        </w:numPr>
        <w:ind w:left="993" w:hanging="426"/>
        <w:rPr>
          <w:sz w:val="24"/>
          <w:szCs w:val="24"/>
        </w:rPr>
      </w:pPr>
      <w:r>
        <w:rPr>
          <w:sz w:val="24"/>
          <w:szCs w:val="24"/>
        </w:rPr>
        <w:t>E</w:t>
      </w:r>
      <w:r w:rsidR="00756738" w:rsidRPr="00756738">
        <w:rPr>
          <w:sz w:val="24"/>
          <w:szCs w:val="24"/>
        </w:rPr>
        <w:t xml:space="preserve">xerted undue influence on procurement decision making process; or </w:t>
      </w:r>
    </w:p>
    <w:p w:rsidR="00756738" w:rsidRPr="00756738" w:rsidRDefault="00173CAE" w:rsidP="00C4534A">
      <w:pPr>
        <w:numPr>
          <w:ilvl w:val="0"/>
          <w:numId w:val="36"/>
        </w:numPr>
        <w:ind w:left="993" w:hanging="426"/>
        <w:rPr>
          <w:sz w:val="24"/>
          <w:szCs w:val="24"/>
          <w:lang w:val="en-GB" w:eastAsia="en-GB"/>
        </w:rPr>
      </w:pPr>
      <w:r>
        <w:rPr>
          <w:sz w:val="24"/>
          <w:szCs w:val="24"/>
        </w:rPr>
        <w:t>V</w:t>
      </w:r>
      <w:r w:rsidR="00756738" w:rsidRPr="00756738">
        <w:rPr>
          <w:sz w:val="24"/>
          <w:szCs w:val="24"/>
        </w:rPr>
        <w:t xml:space="preserve">arious other circumstances which would distort competition e.g. conflicts of interest, collusion, prior involvement (where the impact of this is </w:t>
      </w:r>
      <w:r w:rsidR="00756738" w:rsidRPr="00756738">
        <w:rPr>
          <w:sz w:val="24"/>
          <w:szCs w:val="24"/>
        </w:rPr>
        <w:lastRenderedPageBreak/>
        <w:t>incapable of being neutralised by dissemination of information to other bidders).</w:t>
      </w:r>
    </w:p>
    <w:p w:rsidR="00756738" w:rsidRDefault="00756738" w:rsidP="00C4534A">
      <w:pPr>
        <w:rPr>
          <w:sz w:val="24"/>
          <w:szCs w:val="24"/>
        </w:rPr>
      </w:pPr>
    </w:p>
    <w:p w:rsidR="00756738" w:rsidRDefault="00E53B76" w:rsidP="00E53B76">
      <w:pPr>
        <w:pStyle w:val="Heading2"/>
        <w:numPr>
          <w:ilvl w:val="0"/>
          <w:numId w:val="0"/>
        </w:numPr>
        <w:ind w:left="567"/>
        <w:jc w:val="left"/>
        <w:rPr>
          <w:sz w:val="24"/>
          <w:szCs w:val="24"/>
          <w:lang w:val="en-GB"/>
        </w:rPr>
      </w:pPr>
      <w:bookmarkStart w:id="75" w:name="_Toc454456011"/>
      <w:r>
        <w:rPr>
          <w:sz w:val="24"/>
          <w:szCs w:val="24"/>
          <w:lang w:val="en-GB"/>
        </w:rPr>
        <w:t>2.17.3</w:t>
      </w:r>
      <w:r>
        <w:rPr>
          <w:sz w:val="24"/>
          <w:szCs w:val="24"/>
          <w:lang w:val="en-GB"/>
        </w:rPr>
        <w:tab/>
      </w:r>
      <w:r w:rsidR="00756738" w:rsidRPr="00756738">
        <w:rPr>
          <w:sz w:val="24"/>
          <w:szCs w:val="24"/>
          <w:lang w:val="en-GB"/>
        </w:rPr>
        <w:t xml:space="preserve">Duration of exclusion and </w:t>
      </w:r>
      <w:r>
        <w:rPr>
          <w:sz w:val="24"/>
          <w:szCs w:val="24"/>
          <w:lang w:val="en-GB"/>
        </w:rPr>
        <w:t>‘</w:t>
      </w:r>
      <w:r w:rsidR="00756738" w:rsidRPr="00756738">
        <w:rPr>
          <w:sz w:val="24"/>
          <w:szCs w:val="24"/>
          <w:lang w:val="en-GB"/>
        </w:rPr>
        <w:t>self-cleaning</w:t>
      </w:r>
      <w:r>
        <w:rPr>
          <w:sz w:val="24"/>
          <w:szCs w:val="24"/>
          <w:lang w:val="en-GB"/>
        </w:rPr>
        <w:t>’</w:t>
      </w:r>
      <w:bookmarkEnd w:id="75"/>
    </w:p>
    <w:p w:rsidR="00756738" w:rsidRDefault="00756738" w:rsidP="00C4534A">
      <w:pPr>
        <w:rPr>
          <w:lang w:val="en-GB" w:eastAsia="en-GB"/>
        </w:rPr>
      </w:pPr>
    </w:p>
    <w:p w:rsidR="00756738" w:rsidRDefault="00756738" w:rsidP="00C4534A">
      <w:pPr>
        <w:ind w:left="567"/>
        <w:rPr>
          <w:sz w:val="24"/>
          <w:szCs w:val="24"/>
          <w:lang w:val="en-GB"/>
        </w:rPr>
      </w:pPr>
      <w:r w:rsidRPr="00756738">
        <w:rPr>
          <w:sz w:val="24"/>
          <w:szCs w:val="24"/>
          <w:lang w:val="en-GB"/>
        </w:rPr>
        <w:t xml:space="preserve">Bidders may not be excluded forever. Regulation 57(11) states that for a mandatory exclusion offence a bidder shall be excluded for a period of five years, and for a discretionary exclusion, a period of three years. </w:t>
      </w:r>
    </w:p>
    <w:p w:rsidR="00756738" w:rsidRDefault="00756738" w:rsidP="00C4534A">
      <w:pPr>
        <w:ind w:left="567"/>
        <w:rPr>
          <w:sz w:val="24"/>
          <w:szCs w:val="24"/>
          <w:lang w:val="en-GB"/>
        </w:rPr>
      </w:pPr>
    </w:p>
    <w:p w:rsidR="00756738" w:rsidRDefault="00756738" w:rsidP="00C4534A">
      <w:pPr>
        <w:ind w:left="567"/>
        <w:rPr>
          <w:sz w:val="24"/>
          <w:szCs w:val="24"/>
          <w:lang w:val="en-GB"/>
        </w:rPr>
      </w:pPr>
      <w:r w:rsidRPr="00756738">
        <w:rPr>
          <w:sz w:val="24"/>
          <w:szCs w:val="24"/>
          <w:lang w:val="en-GB"/>
        </w:rPr>
        <w:t xml:space="preserve">In addition, Regulation 57(13) sets out a “self-cleaning” mechanism where a supplier may provide evidence that, despite the existence of mandatory or discretionary grounds, it can demonstrate its reliability and that it has taken compensatory measures to prevent the issue happening again (see Regulation 57(15)). </w:t>
      </w:r>
    </w:p>
    <w:p w:rsidR="00756738" w:rsidRDefault="00756738" w:rsidP="00C4534A">
      <w:pPr>
        <w:ind w:left="567"/>
        <w:rPr>
          <w:sz w:val="24"/>
          <w:szCs w:val="24"/>
          <w:lang w:val="en-GB"/>
        </w:rPr>
      </w:pPr>
    </w:p>
    <w:p w:rsidR="00756738" w:rsidRDefault="00756738" w:rsidP="00C4534A">
      <w:pPr>
        <w:ind w:left="567"/>
        <w:rPr>
          <w:sz w:val="24"/>
          <w:szCs w:val="24"/>
          <w:lang w:val="en-GB"/>
        </w:rPr>
      </w:pPr>
      <w:r w:rsidRPr="00756738">
        <w:rPr>
          <w:sz w:val="24"/>
          <w:szCs w:val="24"/>
          <w:lang w:val="en-GB"/>
        </w:rPr>
        <w:t xml:space="preserve">There is an obligation on </w:t>
      </w:r>
      <w:r w:rsidR="001A57CE">
        <w:rPr>
          <w:sz w:val="24"/>
          <w:szCs w:val="24"/>
          <w:lang w:val="en-GB"/>
        </w:rPr>
        <w:t>S</w:t>
      </w:r>
      <w:r>
        <w:rPr>
          <w:sz w:val="24"/>
          <w:szCs w:val="24"/>
          <w:lang w:val="en-GB"/>
        </w:rPr>
        <w:t>CCG</w:t>
      </w:r>
      <w:r w:rsidRPr="00756738">
        <w:rPr>
          <w:sz w:val="24"/>
          <w:szCs w:val="24"/>
          <w:lang w:val="en-GB"/>
        </w:rPr>
        <w:t xml:space="preserve"> to evaluate the evidence in the light of the gravity and circumstances of the misconduct, and to provide reasons to the supplier if it considers the </w:t>
      </w:r>
      <w:r w:rsidR="00E53B76">
        <w:rPr>
          <w:sz w:val="24"/>
          <w:szCs w:val="24"/>
          <w:lang w:val="en-GB"/>
        </w:rPr>
        <w:t>‘</w:t>
      </w:r>
      <w:r w:rsidR="00E53B76" w:rsidRPr="00756738">
        <w:rPr>
          <w:sz w:val="24"/>
          <w:szCs w:val="24"/>
          <w:lang w:val="en-GB"/>
        </w:rPr>
        <w:t>self</w:t>
      </w:r>
      <w:r w:rsidR="00E53B76">
        <w:rPr>
          <w:sz w:val="24"/>
          <w:szCs w:val="24"/>
          <w:lang w:val="en-GB"/>
        </w:rPr>
        <w:t>-</w:t>
      </w:r>
      <w:r w:rsidR="00E53B76" w:rsidRPr="00756738">
        <w:rPr>
          <w:sz w:val="24"/>
          <w:szCs w:val="24"/>
          <w:lang w:val="en-GB"/>
        </w:rPr>
        <w:t>cleaning</w:t>
      </w:r>
      <w:r w:rsidR="00E53B76">
        <w:rPr>
          <w:sz w:val="24"/>
          <w:szCs w:val="24"/>
          <w:lang w:val="en-GB"/>
        </w:rPr>
        <w:t>’</w:t>
      </w:r>
      <w:r w:rsidRPr="00756738">
        <w:rPr>
          <w:sz w:val="24"/>
          <w:szCs w:val="24"/>
          <w:lang w:val="en-GB"/>
        </w:rPr>
        <w:t xml:space="preserve"> to be insufficient and it wishes to proceed to exclude in any event (Regulation 57(17)).</w:t>
      </w:r>
    </w:p>
    <w:p w:rsidR="00756738" w:rsidRDefault="00756738" w:rsidP="00C4534A">
      <w:pPr>
        <w:rPr>
          <w:sz w:val="24"/>
          <w:szCs w:val="24"/>
          <w:lang w:val="en-GB"/>
        </w:rPr>
      </w:pPr>
    </w:p>
    <w:p w:rsidR="00756738" w:rsidRDefault="00E53B76" w:rsidP="00E53B76">
      <w:pPr>
        <w:pStyle w:val="Heading2"/>
        <w:numPr>
          <w:ilvl w:val="0"/>
          <w:numId w:val="0"/>
        </w:numPr>
        <w:ind w:left="567"/>
        <w:jc w:val="left"/>
        <w:rPr>
          <w:sz w:val="24"/>
          <w:szCs w:val="24"/>
          <w:lang w:val="en-GB"/>
        </w:rPr>
      </w:pPr>
      <w:bookmarkStart w:id="76" w:name="_Toc454456012"/>
      <w:r>
        <w:rPr>
          <w:sz w:val="24"/>
          <w:szCs w:val="24"/>
          <w:lang w:val="en-GB"/>
        </w:rPr>
        <w:t>2.17.4</w:t>
      </w:r>
      <w:r>
        <w:rPr>
          <w:sz w:val="24"/>
          <w:szCs w:val="24"/>
          <w:lang w:val="en-GB"/>
        </w:rPr>
        <w:tab/>
      </w:r>
      <w:r w:rsidR="00756738">
        <w:rPr>
          <w:sz w:val="24"/>
          <w:szCs w:val="24"/>
          <w:lang w:val="en-GB"/>
        </w:rPr>
        <w:t>Financial standing</w:t>
      </w:r>
      <w:bookmarkEnd w:id="76"/>
    </w:p>
    <w:p w:rsidR="00756738" w:rsidRDefault="00756738" w:rsidP="00C4534A">
      <w:pPr>
        <w:rPr>
          <w:lang w:val="en-GB" w:eastAsia="en-GB"/>
        </w:rPr>
      </w:pPr>
    </w:p>
    <w:p w:rsidR="00756738" w:rsidRDefault="00756738" w:rsidP="00C4534A">
      <w:pPr>
        <w:ind w:left="567"/>
        <w:rPr>
          <w:sz w:val="24"/>
          <w:szCs w:val="24"/>
          <w:lang w:val="en-GB" w:eastAsia="en-GB"/>
        </w:rPr>
      </w:pPr>
      <w:r w:rsidRPr="00756738">
        <w:rPr>
          <w:sz w:val="24"/>
          <w:szCs w:val="24"/>
          <w:lang w:val="en-GB" w:eastAsia="en-GB"/>
        </w:rPr>
        <w:t>Regulation 58 limits the maximum turnover requirements that the CCG may set to a maximum of twice the contract value.</w:t>
      </w:r>
    </w:p>
    <w:p w:rsidR="00756738" w:rsidRDefault="00756738" w:rsidP="00C4534A">
      <w:pPr>
        <w:rPr>
          <w:sz w:val="24"/>
          <w:szCs w:val="24"/>
          <w:lang w:val="en-GB" w:eastAsia="en-GB"/>
        </w:rPr>
      </w:pPr>
    </w:p>
    <w:p w:rsidR="00756738" w:rsidRDefault="00E53B76" w:rsidP="00E53B76">
      <w:pPr>
        <w:pStyle w:val="Heading2"/>
        <w:numPr>
          <w:ilvl w:val="0"/>
          <w:numId w:val="0"/>
        </w:numPr>
        <w:ind w:left="567"/>
        <w:jc w:val="left"/>
        <w:rPr>
          <w:sz w:val="24"/>
          <w:szCs w:val="24"/>
          <w:lang w:val="en-GB"/>
        </w:rPr>
      </w:pPr>
      <w:bookmarkStart w:id="77" w:name="_Toc454456013"/>
      <w:r>
        <w:rPr>
          <w:sz w:val="24"/>
          <w:szCs w:val="24"/>
          <w:lang w:val="en-GB"/>
        </w:rPr>
        <w:t>2.17.5</w:t>
      </w:r>
      <w:r>
        <w:rPr>
          <w:sz w:val="24"/>
          <w:szCs w:val="24"/>
          <w:lang w:val="en-GB"/>
        </w:rPr>
        <w:tab/>
      </w:r>
      <w:r w:rsidR="00756738">
        <w:rPr>
          <w:sz w:val="24"/>
          <w:szCs w:val="24"/>
          <w:lang w:val="en-GB"/>
        </w:rPr>
        <w:t>Technical capability</w:t>
      </w:r>
      <w:bookmarkEnd w:id="77"/>
    </w:p>
    <w:p w:rsidR="00756738" w:rsidRDefault="00756738" w:rsidP="00C4534A">
      <w:pPr>
        <w:rPr>
          <w:lang w:val="en-GB" w:eastAsia="en-GB"/>
        </w:rPr>
      </w:pPr>
    </w:p>
    <w:p w:rsidR="00DC6FD3" w:rsidRPr="00DC6FD3" w:rsidRDefault="00DC6FD3" w:rsidP="00C4534A">
      <w:pPr>
        <w:ind w:left="567"/>
        <w:rPr>
          <w:sz w:val="24"/>
          <w:szCs w:val="24"/>
          <w:lang w:val="en-GB" w:eastAsia="en-GB"/>
        </w:rPr>
      </w:pPr>
      <w:r w:rsidRPr="00DC6FD3">
        <w:rPr>
          <w:sz w:val="24"/>
          <w:szCs w:val="24"/>
          <w:lang w:val="en-GB" w:eastAsia="en-GB"/>
        </w:rPr>
        <w:t xml:space="preserve">Regulation 58 confirms </w:t>
      </w:r>
      <w:r w:rsidR="001A57CE" w:rsidRPr="00DC6FD3">
        <w:rPr>
          <w:sz w:val="24"/>
          <w:szCs w:val="24"/>
          <w:lang w:val="en-GB" w:eastAsia="en-GB"/>
        </w:rPr>
        <w:t>th</w:t>
      </w:r>
      <w:r w:rsidR="001A57CE">
        <w:rPr>
          <w:sz w:val="24"/>
          <w:szCs w:val="24"/>
          <w:lang w:val="en-GB" w:eastAsia="en-GB"/>
        </w:rPr>
        <w:t>at S</w:t>
      </w:r>
      <w:r w:rsidRPr="00DC6FD3">
        <w:rPr>
          <w:sz w:val="24"/>
          <w:szCs w:val="24"/>
          <w:lang w:val="en-GB" w:eastAsia="en-GB"/>
        </w:rPr>
        <w:t>CCG may require a sufficient level of experience to perform a contract to ‘an appropriate quality standard’ and this may be required to be demonstrated by references from previous contracts.</w:t>
      </w:r>
    </w:p>
    <w:p w:rsidR="009D3E34" w:rsidRDefault="009D3E34" w:rsidP="00C4534A">
      <w:pPr>
        <w:rPr>
          <w:rFonts w:eastAsia="Arial"/>
          <w:sz w:val="24"/>
          <w:szCs w:val="24"/>
          <w:lang w:val="en-GB"/>
        </w:rPr>
      </w:pPr>
    </w:p>
    <w:p w:rsidR="00DC6FD3" w:rsidRDefault="00DC6FD3" w:rsidP="00C4534A">
      <w:pPr>
        <w:pStyle w:val="Heading1"/>
        <w:numPr>
          <w:ilvl w:val="1"/>
          <w:numId w:val="19"/>
        </w:numPr>
        <w:ind w:left="567" w:hanging="567"/>
        <w:rPr>
          <w:rFonts w:eastAsia="Arial"/>
          <w:sz w:val="24"/>
          <w:szCs w:val="24"/>
        </w:rPr>
      </w:pPr>
      <w:bookmarkStart w:id="78" w:name="_Toc454456014"/>
      <w:r w:rsidRPr="00DC6FD3">
        <w:rPr>
          <w:rFonts w:eastAsia="Arial"/>
          <w:sz w:val="24"/>
          <w:szCs w:val="24"/>
        </w:rPr>
        <w:t>Abnormally Low Tenders</w:t>
      </w:r>
      <w:bookmarkEnd w:id="78"/>
    </w:p>
    <w:p w:rsidR="00DC6FD3" w:rsidRDefault="00DC6FD3" w:rsidP="00C4534A">
      <w:pPr>
        <w:rPr>
          <w:rFonts w:eastAsia="Arial"/>
          <w:lang w:val="en-GB"/>
        </w:rPr>
      </w:pPr>
    </w:p>
    <w:p w:rsidR="00DC6FD3" w:rsidRDefault="00DC6FD3" w:rsidP="00C4534A">
      <w:pPr>
        <w:ind w:left="567"/>
        <w:rPr>
          <w:sz w:val="24"/>
          <w:szCs w:val="24"/>
        </w:rPr>
      </w:pPr>
      <w:r w:rsidRPr="00DC6FD3">
        <w:rPr>
          <w:sz w:val="24"/>
          <w:szCs w:val="24"/>
        </w:rPr>
        <w:t>Regulation 69 requires contracting authorities to demand an explanation where a te</w:t>
      </w:r>
      <w:r>
        <w:rPr>
          <w:sz w:val="24"/>
          <w:szCs w:val="24"/>
        </w:rPr>
        <w:t xml:space="preserve">nder appears to abnormally low </w:t>
      </w:r>
      <w:r w:rsidRPr="00DC6FD3">
        <w:rPr>
          <w:sz w:val="24"/>
          <w:szCs w:val="24"/>
        </w:rPr>
        <w:t>and states that bids may only be rejected where this explanation is unsatisfactory (Regulation 69(4)). However, where it is established that the tender is low due to breaches of environmental, social or labour law, the contracting authority is obliged to reject the tender (Regulation 69(5)). The regulation does not contain any real definition of what amo</w:t>
      </w:r>
      <w:r>
        <w:rPr>
          <w:sz w:val="24"/>
          <w:szCs w:val="24"/>
        </w:rPr>
        <w:t xml:space="preserve">unts to an </w:t>
      </w:r>
      <w:r w:rsidR="0030281C">
        <w:rPr>
          <w:sz w:val="24"/>
          <w:szCs w:val="24"/>
        </w:rPr>
        <w:t>‘</w:t>
      </w:r>
      <w:r>
        <w:rPr>
          <w:sz w:val="24"/>
          <w:szCs w:val="24"/>
        </w:rPr>
        <w:t>abnormally low</w:t>
      </w:r>
      <w:r w:rsidR="0030281C">
        <w:rPr>
          <w:sz w:val="24"/>
          <w:szCs w:val="24"/>
        </w:rPr>
        <w:t>’</w:t>
      </w:r>
      <w:r>
        <w:rPr>
          <w:sz w:val="24"/>
          <w:szCs w:val="24"/>
        </w:rPr>
        <w:t xml:space="preserve"> bid. </w:t>
      </w:r>
    </w:p>
    <w:p w:rsidR="00E319BE" w:rsidRDefault="00E319BE" w:rsidP="00C4534A">
      <w:pPr>
        <w:rPr>
          <w:sz w:val="24"/>
          <w:szCs w:val="24"/>
        </w:rPr>
      </w:pPr>
    </w:p>
    <w:p w:rsidR="00E319BE" w:rsidRPr="00E319BE" w:rsidRDefault="00E319BE" w:rsidP="00C4534A">
      <w:pPr>
        <w:pStyle w:val="Heading1"/>
        <w:numPr>
          <w:ilvl w:val="1"/>
          <w:numId w:val="19"/>
        </w:numPr>
        <w:ind w:left="567" w:hanging="567"/>
        <w:rPr>
          <w:rFonts w:eastAsia="Arial"/>
          <w:sz w:val="24"/>
          <w:szCs w:val="24"/>
        </w:rPr>
      </w:pPr>
      <w:bookmarkStart w:id="79" w:name="_Toc454456015"/>
      <w:r w:rsidRPr="00E319BE">
        <w:rPr>
          <w:rFonts w:eastAsia="Arial"/>
          <w:sz w:val="24"/>
          <w:szCs w:val="24"/>
        </w:rPr>
        <w:t xml:space="preserve">Evaluating Experience at Award </w:t>
      </w:r>
      <w:r>
        <w:rPr>
          <w:rFonts w:eastAsia="Arial"/>
          <w:sz w:val="24"/>
          <w:szCs w:val="24"/>
        </w:rPr>
        <w:t xml:space="preserve">(Invitation to Tender) </w:t>
      </w:r>
      <w:r w:rsidRPr="00E319BE">
        <w:rPr>
          <w:rFonts w:eastAsia="Arial"/>
          <w:sz w:val="24"/>
          <w:szCs w:val="24"/>
        </w:rPr>
        <w:t>Stage</w:t>
      </w:r>
      <w:bookmarkEnd w:id="79"/>
    </w:p>
    <w:p w:rsidR="00E319BE" w:rsidRDefault="00E319BE" w:rsidP="00C4534A">
      <w:pPr>
        <w:rPr>
          <w:sz w:val="24"/>
          <w:szCs w:val="24"/>
        </w:rPr>
      </w:pPr>
    </w:p>
    <w:p w:rsidR="00E319BE" w:rsidRDefault="00E319BE" w:rsidP="00C4534A">
      <w:pPr>
        <w:ind w:left="567"/>
        <w:rPr>
          <w:sz w:val="24"/>
          <w:szCs w:val="24"/>
        </w:rPr>
      </w:pPr>
      <w:r>
        <w:rPr>
          <w:sz w:val="24"/>
          <w:szCs w:val="24"/>
        </w:rPr>
        <w:t>The PCR 2015 confirms (Regulation 67(3)(b) that it is possible to evaluate the experience of the staff assigned to performance of the contract, where staff quality is likely to have significant impact on performance levels (this is particularly likely to be true for example, contracts for training and consultancy services)</w:t>
      </w:r>
      <w:r w:rsidR="00C44AEB">
        <w:rPr>
          <w:sz w:val="24"/>
          <w:szCs w:val="24"/>
        </w:rPr>
        <w:t>.</w:t>
      </w:r>
    </w:p>
    <w:p w:rsidR="00EE5BC1" w:rsidRDefault="00EE5BC1" w:rsidP="00C4534A">
      <w:pPr>
        <w:rPr>
          <w:sz w:val="24"/>
          <w:szCs w:val="24"/>
        </w:rPr>
      </w:pPr>
    </w:p>
    <w:p w:rsidR="00EE5BC1" w:rsidRDefault="00EE5BC1" w:rsidP="00C4534A">
      <w:pPr>
        <w:pStyle w:val="Heading1"/>
        <w:numPr>
          <w:ilvl w:val="1"/>
          <w:numId w:val="19"/>
        </w:numPr>
        <w:ind w:left="567" w:hanging="567"/>
        <w:rPr>
          <w:rFonts w:eastAsia="Arial"/>
          <w:sz w:val="24"/>
          <w:szCs w:val="24"/>
        </w:rPr>
      </w:pPr>
      <w:bookmarkStart w:id="80" w:name="_Toc454456016"/>
      <w:r w:rsidRPr="00EE5BC1">
        <w:rPr>
          <w:rFonts w:eastAsia="Arial"/>
          <w:sz w:val="24"/>
          <w:szCs w:val="24"/>
        </w:rPr>
        <w:lastRenderedPageBreak/>
        <w:t>Regulation 84 Reports</w:t>
      </w:r>
      <w:bookmarkEnd w:id="80"/>
    </w:p>
    <w:p w:rsidR="00EE5BC1" w:rsidRDefault="00EE5BC1" w:rsidP="00C4534A">
      <w:pPr>
        <w:rPr>
          <w:lang w:val="en-GB"/>
        </w:rPr>
      </w:pPr>
    </w:p>
    <w:p w:rsidR="00EE5BC1" w:rsidRDefault="00EE5BC1" w:rsidP="00C4534A">
      <w:pPr>
        <w:ind w:left="567"/>
        <w:rPr>
          <w:sz w:val="24"/>
          <w:szCs w:val="24"/>
          <w:lang w:val="en-GB"/>
        </w:rPr>
      </w:pPr>
      <w:r w:rsidRPr="00EE5BC1">
        <w:rPr>
          <w:sz w:val="24"/>
          <w:szCs w:val="24"/>
          <w:lang w:val="en-GB"/>
        </w:rPr>
        <w:t xml:space="preserve">Regulation 84 requires </w:t>
      </w:r>
      <w:r w:rsidR="001A57CE">
        <w:rPr>
          <w:sz w:val="24"/>
          <w:szCs w:val="24"/>
          <w:lang w:val="en-GB"/>
        </w:rPr>
        <w:t>that S</w:t>
      </w:r>
      <w:r w:rsidRPr="00EE5BC1">
        <w:rPr>
          <w:sz w:val="24"/>
          <w:szCs w:val="24"/>
          <w:lang w:val="en-GB"/>
        </w:rPr>
        <w:t>CCG to draw up a report in relation to each contract or framework that is awarded and ensure that it includes all the information set out at Regulation 84(1). This requirement does not apply to contracts called off from a framework agreement (see Regulation 84(2)). There is an ability to cross refer to the contract award notice where this already contains all the information required. Note</w:t>
      </w:r>
      <w:proofErr w:type="gramStart"/>
      <w:r w:rsidRPr="00EE5BC1">
        <w:rPr>
          <w:sz w:val="24"/>
          <w:szCs w:val="24"/>
          <w:lang w:val="en-GB"/>
        </w:rPr>
        <w:t>,</w:t>
      </w:r>
      <w:proofErr w:type="gramEnd"/>
      <w:r w:rsidRPr="00EE5BC1">
        <w:rPr>
          <w:sz w:val="24"/>
          <w:szCs w:val="24"/>
          <w:lang w:val="en-GB"/>
        </w:rPr>
        <w:t xml:space="preserve"> the Cabinet Office has the right to request a copy of the report.</w:t>
      </w:r>
    </w:p>
    <w:p w:rsidR="00EE5BC1" w:rsidRDefault="00EE5BC1" w:rsidP="00C4534A">
      <w:pPr>
        <w:ind w:left="567"/>
        <w:rPr>
          <w:sz w:val="24"/>
          <w:szCs w:val="24"/>
          <w:lang w:val="en-GB"/>
        </w:rPr>
      </w:pPr>
    </w:p>
    <w:p w:rsidR="00EE5BC1" w:rsidRDefault="00EE5BC1" w:rsidP="00C4534A">
      <w:pPr>
        <w:ind w:left="567"/>
        <w:rPr>
          <w:sz w:val="24"/>
          <w:szCs w:val="24"/>
          <w:lang w:val="en-GB"/>
        </w:rPr>
      </w:pPr>
      <w:r>
        <w:rPr>
          <w:sz w:val="24"/>
          <w:szCs w:val="24"/>
          <w:lang w:val="en-GB"/>
        </w:rPr>
        <w:t>As well as the general details of the winning bid, the suppliers involved, the value and subject matter of the contract, the Regulation 84 report on a particular contract must also include:</w:t>
      </w:r>
    </w:p>
    <w:p w:rsidR="00EE5BC1" w:rsidRDefault="00EE5BC1" w:rsidP="00C4534A">
      <w:pPr>
        <w:rPr>
          <w:sz w:val="24"/>
          <w:szCs w:val="24"/>
          <w:lang w:val="en-GB"/>
        </w:rPr>
      </w:pPr>
    </w:p>
    <w:p w:rsidR="00EE5BC1" w:rsidRDefault="00B07A36" w:rsidP="00C4534A">
      <w:pPr>
        <w:numPr>
          <w:ilvl w:val="0"/>
          <w:numId w:val="37"/>
        </w:numPr>
        <w:ind w:left="993" w:hanging="426"/>
        <w:rPr>
          <w:sz w:val="24"/>
          <w:szCs w:val="24"/>
          <w:lang w:val="en-GB"/>
        </w:rPr>
      </w:pPr>
      <w:r>
        <w:rPr>
          <w:sz w:val="24"/>
          <w:szCs w:val="24"/>
          <w:lang w:val="en-GB"/>
        </w:rPr>
        <w:t>W</w:t>
      </w:r>
      <w:r w:rsidR="00EE5BC1">
        <w:rPr>
          <w:sz w:val="24"/>
          <w:szCs w:val="24"/>
          <w:lang w:val="en-GB"/>
        </w:rPr>
        <w:t>here the competitive with negotiation, competitive dialogue, or negotiated without notice procedure was used, the justifications for this choice;</w:t>
      </w:r>
    </w:p>
    <w:p w:rsidR="00EE5BC1" w:rsidRDefault="00173CAE" w:rsidP="00C4534A">
      <w:pPr>
        <w:numPr>
          <w:ilvl w:val="0"/>
          <w:numId w:val="37"/>
        </w:numPr>
        <w:ind w:left="993" w:hanging="426"/>
        <w:rPr>
          <w:sz w:val="24"/>
          <w:szCs w:val="24"/>
          <w:lang w:val="en-GB"/>
        </w:rPr>
      </w:pPr>
      <w:r>
        <w:rPr>
          <w:sz w:val="24"/>
          <w:szCs w:val="24"/>
          <w:lang w:val="en-GB"/>
        </w:rPr>
        <w:t>W</w:t>
      </w:r>
      <w:r w:rsidR="00EE5BC1">
        <w:rPr>
          <w:sz w:val="24"/>
          <w:szCs w:val="24"/>
          <w:lang w:val="en-GB"/>
        </w:rPr>
        <w:t xml:space="preserve">here a procurement procedure is abandoned, the reasons why the contracting authority decided </w:t>
      </w:r>
      <w:r w:rsidR="00B07A36">
        <w:rPr>
          <w:sz w:val="24"/>
          <w:szCs w:val="24"/>
          <w:lang w:val="en-GB"/>
        </w:rPr>
        <w:t>not to proceed;</w:t>
      </w:r>
    </w:p>
    <w:p w:rsidR="00B07A36" w:rsidRDefault="00173CAE" w:rsidP="00C4534A">
      <w:pPr>
        <w:numPr>
          <w:ilvl w:val="0"/>
          <w:numId w:val="37"/>
        </w:numPr>
        <w:ind w:left="993" w:hanging="426"/>
        <w:rPr>
          <w:sz w:val="24"/>
          <w:szCs w:val="24"/>
          <w:lang w:val="en-GB"/>
        </w:rPr>
      </w:pPr>
      <w:r>
        <w:rPr>
          <w:sz w:val="24"/>
          <w:szCs w:val="24"/>
          <w:lang w:val="en-GB"/>
        </w:rPr>
        <w:t>D</w:t>
      </w:r>
      <w:r w:rsidR="00B07A36">
        <w:rPr>
          <w:sz w:val="24"/>
          <w:szCs w:val="24"/>
          <w:lang w:val="en-GB"/>
        </w:rPr>
        <w:t>etails of any conflicts of interest identified and how these were resolved; and</w:t>
      </w:r>
    </w:p>
    <w:p w:rsidR="00B07A36" w:rsidRDefault="00173CAE" w:rsidP="00C4534A">
      <w:pPr>
        <w:numPr>
          <w:ilvl w:val="0"/>
          <w:numId w:val="37"/>
        </w:numPr>
        <w:ind w:left="993" w:hanging="426"/>
        <w:rPr>
          <w:sz w:val="24"/>
          <w:szCs w:val="24"/>
          <w:lang w:val="en-GB"/>
        </w:rPr>
      </w:pPr>
      <w:r>
        <w:rPr>
          <w:sz w:val="24"/>
          <w:szCs w:val="24"/>
          <w:lang w:val="en-GB"/>
        </w:rPr>
        <w:t>I</w:t>
      </w:r>
      <w:r w:rsidR="00B07A36">
        <w:rPr>
          <w:sz w:val="24"/>
          <w:szCs w:val="24"/>
          <w:lang w:val="en-GB"/>
        </w:rPr>
        <w:t>f any bids were found to be abnormally low, reasons for the rejection of these.</w:t>
      </w:r>
    </w:p>
    <w:p w:rsidR="00B07A36" w:rsidRDefault="00B07A36" w:rsidP="00C4534A">
      <w:pPr>
        <w:rPr>
          <w:sz w:val="24"/>
          <w:szCs w:val="24"/>
          <w:lang w:val="en-GB"/>
        </w:rPr>
      </w:pPr>
    </w:p>
    <w:p w:rsidR="00B07A36" w:rsidRDefault="00B07A36" w:rsidP="00C4534A">
      <w:pPr>
        <w:ind w:left="567"/>
        <w:rPr>
          <w:sz w:val="24"/>
          <w:szCs w:val="24"/>
          <w:lang w:val="en-GB"/>
        </w:rPr>
      </w:pPr>
      <w:r>
        <w:rPr>
          <w:sz w:val="24"/>
          <w:szCs w:val="24"/>
          <w:lang w:val="en-GB"/>
        </w:rPr>
        <w:t>A further requirement is to publish contract award notices for any contract entered into which includes contracts entered into without competition (e.g. acute contracts, GP contracts etc.). To be compliant, all CCGs must publish contract award notices:</w:t>
      </w:r>
    </w:p>
    <w:p w:rsidR="00B07A36" w:rsidRDefault="00B07A36" w:rsidP="00C4534A">
      <w:pPr>
        <w:ind w:left="993" w:hanging="426"/>
        <w:rPr>
          <w:sz w:val="24"/>
          <w:szCs w:val="24"/>
          <w:lang w:val="en-GB"/>
        </w:rPr>
      </w:pPr>
    </w:p>
    <w:p w:rsidR="00B07A36" w:rsidRDefault="00B754B4" w:rsidP="00C4534A">
      <w:pPr>
        <w:numPr>
          <w:ilvl w:val="0"/>
          <w:numId w:val="38"/>
        </w:numPr>
        <w:ind w:left="993" w:hanging="426"/>
        <w:rPr>
          <w:sz w:val="24"/>
          <w:szCs w:val="24"/>
          <w:lang w:val="en-GB"/>
        </w:rPr>
      </w:pPr>
      <w:r>
        <w:rPr>
          <w:sz w:val="24"/>
          <w:szCs w:val="24"/>
          <w:lang w:val="en-GB"/>
        </w:rPr>
        <w:t xml:space="preserve">For any contract above the Contractsfinder threshold (currently £25,000 over the life of the contract) on </w:t>
      </w:r>
      <w:hyperlink r:id="rId11" w:history="1">
        <w:r w:rsidRPr="008F5A34">
          <w:rPr>
            <w:rStyle w:val="Hyperlink"/>
            <w:sz w:val="24"/>
            <w:szCs w:val="24"/>
            <w:lang w:val="en-GB"/>
          </w:rPr>
          <w:t>www.contractsfinder.service.gov.uk</w:t>
        </w:r>
      </w:hyperlink>
      <w:r>
        <w:rPr>
          <w:sz w:val="24"/>
          <w:szCs w:val="24"/>
          <w:lang w:val="en-GB"/>
        </w:rPr>
        <w:t>;</w:t>
      </w:r>
    </w:p>
    <w:p w:rsidR="00B754B4" w:rsidRDefault="00B754B4" w:rsidP="00C4534A">
      <w:pPr>
        <w:numPr>
          <w:ilvl w:val="0"/>
          <w:numId w:val="38"/>
        </w:numPr>
        <w:ind w:left="993" w:hanging="426"/>
        <w:rPr>
          <w:sz w:val="24"/>
          <w:szCs w:val="24"/>
          <w:lang w:val="en-GB"/>
        </w:rPr>
      </w:pPr>
      <w:r>
        <w:rPr>
          <w:sz w:val="24"/>
          <w:szCs w:val="24"/>
          <w:lang w:val="en-GB"/>
        </w:rPr>
        <w:t>For any ‘non-light touch regime’ contract above OJEU threshold (currently £</w:t>
      </w:r>
      <w:r w:rsidR="0043245F">
        <w:rPr>
          <w:sz w:val="24"/>
          <w:szCs w:val="24"/>
          <w:lang w:val="en-GB"/>
        </w:rPr>
        <w:t>181,302</w:t>
      </w:r>
      <w:r>
        <w:rPr>
          <w:sz w:val="24"/>
          <w:szCs w:val="24"/>
          <w:lang w:val="en-GB"/>
        </w:rPr>
        <w:t xml:space="preserve"> over the life of the contract) on </w:t>
      </w:r>
      <w:hyperlink r:id="rId12" w:history="1">
        <w:r w:rsidRPr="008F5A34">
          <w:rPr>
            <w:rStyle w:val="Hyperlink"/>
            <w:sz w:val="24"/>
            <w:szCs w:val="24"/>
            <w:lang w:val="en-GB"/>
          </w:rPr>
          <w:t>http://simap.europa.eu/</w:t>
        </w:r>
      </w:hyperlink>
      <w:r>
        <w:rPr>
          <w:sz w:val="24"/>
          <w:szCs w:val="24"/>
          <w:lang w:val="en-GB"/>
        </w:rPr>
        <w:t xml:space="preserve"> as well as on </w:t>
      </w:r>
      <w:hyperlink r:id="rId13" w:history="1">
        <w:r w:rsidRPr="008F5A34">
          <w:rPr>
            <w:rStyle w:val="Hyperlink"/>
            <w:sz w:val="24"/>
            <w:szCs w:val="24"/>
            <w:lang w:val="en-GB"/>
          </w:rPr>
          <w:t>www.contractsfinder.service.gov.uk</w:t>
        </w:r>
      </w:hyperlink>
      <w:r>
        <w:rPr>
          <w:sz w:val="24"/>
          <w:szCs w:val="24"/>
          <w:lang w:val="en-GB"/>
        </w:rPr>
        <w:t>; and</w:t>
      </w:r>
    </w:p>
    <w:p w:rsidR="00B754B4" w:rsidRDefault="00B754B4" w:rsidP="00C4534A">
      <w:pPr>
        <w:numPr>
          <w:ilvl w:val="0"/>
          <w:numId w:val="38"/>
        </w:numPr>
        <w:ind w:left="993" w:hanging="426"/>
        <w:rPr>
          <w:sz w:val="24"/>
          <w:szCs w:val="24"/>
          <w:lang w:val="en-GB"/>
        </w:rPr>
      </w:pPr>
      <w:r>
        <w:rPr>
          <w:sz w:val="24"/>
          <w:szCs w:val="24"/>
          <w:lang w:val="en-GB"/>
        </w:rPr>
        <w:t>For any ‘light touch regime’ contract above OJEU threshold (currently £</w:t>
      </w:r>
      <w:r w:rsidR="0043245F">
        <w:rPr>
          <w:sz w:val="24"/>
          <w:szCs w:val="24"/>
          <w:lang w:val="en-GB"/>
        </w:rPr>
        <w:t>615,278</w:t>
      </w:r>
      <w:r>
        <w:rPr>
          <w:sz w:val="24"/>
          <w:szCs w:val="24"/>
          <w:lang w:val="en-GB"/>
        </w:rPr>
        <w:t xml:space="preserve"> over the life of the contract) on </w:t>
      </w:r>
      <w:hyperlink r:id="rId14" w:history="1">
        <w:r w:rsidRPr="008F5A34">
          <w:rPr>
            <w:rStyle w:val="Hyperlink"/>
            <w:sz w:val="24"/>
            <w:szCs w:val="24"/>
            <w:lang w:val="en-GB"/>
          </w:rPr>
          <w:t>http://simap.europa.eu/</w:t>
        </w:r>
      </w:hyperlink>
      <w:r>
        <w:rPr>
          <w:sz w:val="24"/>
          <w:szCs w:val="24"/>
          <w:lang w:val="en-GB"/>
        </w:rPr>
        <w:t xml:space="preserve"> as well as on </w:t>
      </w:r>
      <w:hyperlink r:id="rId15" w:history="1">
        <w:r w:rsidRPr="008F5A34">
          <w:rPr>
            <w:rStyle w:val="Hyperlink"/>
            <w:sz w:val="24"/>
            <w:szCs w:val="24"/>
            <w:lang w:val="en-GB"/>
          </w:rPr>
          <w:t>www.contractsfinder.service.gov.uk</w:t>
        </w:r>
      </w:hyperlink>
      <w:r>
        <w:rPr>
          <w:sz w:val="24"/>
          <w:szCs w:val="24"/>
          <w:lang w:val="en-GB"/>
        </w:rPr>
        <w:t>.</w:t>
      </w:r>
    </w:p>
    <w:p w:rsidR="00B754B4" w:rsidRDefault="00B754B4" w:rsidP="00C4534A">
      <w:pPr>
        <w:rPr>
          <w:sz w:val="24"/>
          <w:szCs w:val="24"/>
          <w:lang w:val="en-GB"/>
        </w:rPr>
      </w:pPr>
    </w:p>
    <w:p w:rsidR="00C21C2E" w:rsidRPr="00EE5BC1" w:rsidRDefault="00C21C2E" w:rsidP="00C4534A">
      <w:pPr>
        <w:ind w:left="567"/>
        <w:rPr>
          <w:sz w:val="24"/>
          <w:szCs w:val="24"/>
          <w:lang w:val="en-GB"/>
        </w:rPr>
      </w:pPr>
      <w:r>
        <w:rPr>
          <w:sz w:val="24"/>
          <w:szCs w:val="24"/>
          <w:lang w:val="en-GB"/>
        </w:rPr>
        <w:t xml:space="preserve">The </w:t>
      </w:r>
      <w:proofErr w:type="spellStart"/>
      <w:r w:rsidR="001A57CE">
        <w:rPr>
          <w:sz w:val="24"/>
          <w:szCs w:val="24"/>
          <w:lang w:val="en-GB"/>
        </w:rPr>
        <w:t>SYPS</w:t>
      </w:r>
      <w:r>
        <w:rPr>
          <w:sz w:val="24"/>
          <w:szCs w:val="24"/>
          <w:lang w:val="en-GB"/>
        </w:rPr>
        <w:t>will</w:t>
      </w:r>
      <w:proofErr w:type="spellEnd"/>
      <w:r>
        <w:rPr>
          <w:sz w:val="24"/>
          <w:szCs w:val="24"/>
          <w:lang w:val="en-GB"/>
        </w:rPr>
        <w:t xml:space="preserve"> publish contract award notices on behalf of </w:t>
      </w:r>
      <w:r w:rsidR="001A57CE">
        <w:rPr>
          <w:sz w:val="24"/>
          <w:szCs w:val="24"/>
          <w:lang w:val="en-GB"/>
        </w:rPr>
        <w:t>S</w:t>
      </w:r>
      <w:r>
        <w:rPr>
          <w:sz w:val="24"/>
          <w:szCs w:val="24"/>
          <w:lang w:val="en-GB"/>
        </w:rPr>
        <w:t>CCG commissioners.</w:t>
      </w:r>
    </w:p>
    <w:p w:rsidR="00DC6FD3" w:rsidRPr="00756738" w:rsidRDefault="00DC6FD3" w:rsidP="00C4534A">
      <w:pPr>
        <w:rPr>
          <w:rFonts w:eastAsia="Arial"/>
          <w:sz w:val="24"/>
          <w:szCs w:val="24"/>
          <w:lang w:val="en-GB"/>
        </w:rPr>
      </w:pPr>
    </w:p>
    <w:p w:rsidR="00800C65" w:rsidRPr="00B83B61" w:rsidRDefault="00800C65" w:rsidP="00C4534A">
      <w:pPr>
        <w:pStyle w:val="Heading1"/>
        <w:numPr>
          <w:ilvl w:val="1"/>
          <w:numId w:val="19"/>
        </w:numPr>
        <w:ind w:left="567" w:hanging="567"/>
        <w:rPr>
          <w:rFonts w:eastAsia="Arial"/>
          <w:sz w:val="24"/>
          <w:szCs w:val="24"/>
        </w:rPr>
      </w:pPr>
      <w:bookmarkStart w:id="81" w:name="_Toc363823770"/>
      <w:bookmarkStart w:id="82" w:name="_Toc454456017"/>
      <w:r w:rsidRPr="00B83B61">
        <w:rPr>
          <w:rFonts w:eastAsia="Arial"/>
          <w:sz w:val="24"/>
          <w:szCs w:val="24"/>
        </w:rPr>
        <w:t>Framework Agreements</w:t>
      </w:r>
      <w:bookmarkEnd w:id="81"/>
      <w:bookmarkEnd w:id="82"/>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A framework is an umbrella agreement which sets out the terms on which the purchasing organisation and the provider(s) will enter into contracts.</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These agreements can be established on both a national or regional level and are constituted by a number of pre-approved providers who supply a similar </w:t>
      </w:r>
      <w:r w:rsidRPr="000D0745">
        <w:rPr>
          <w:sz w:val="24"/>
          <w:szCs w:val="24"/>
          <w:lang w:val="en-GB"/>
        </w:rPr>
        <w:lastRenderedPageBreak/>
        <w:t>range of goods from which a purchase can be made relatively quickly and easily.</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Various framework agreements are available through:</w:t>
      </w:r>
    </w:p>
    <w:p w:rsidR="00800C65" w:rsidRPr="000D0745" w:rsidRDefault="00800C65" w:rsidP="00C4534A">
      <w:pPr>
        <w:rPr>
          <w:sz w:val="24"/>
          <w:szCs w:val="24"/>
          <w:lang w:val="en-GB"/>
        </w:rPr>
      </w:pPr>
    </w:p>
    <w:p w:rsidR="00800C65" w:rsidRPr="000D0745" w:rsidRDefault="002525E1" w:rsidP="00C4534A">
      <w:pPr>
        <w:numPr>
          <w:ilvl w:val="0"/>
          <w:numId w:val="6"/>
        </w:numPr>
        <w:ind w:left="993" w:hanging="426"/>
        <w:rPr>
          <w:sz w:val="24"/>
          <w:szCs w:val="24"/>
          <w:lang w:val="en-GB"/>
        </w:rPr>
      </w:pPr>
      <w:r>
        <w:rPr>
          <w:sz w:val="24"/>
          <w:szCs w:val="24"/>
          <w:lang w:val="en-GB"/>
        </w:rPr>
        <w:t>The Crown Commercial Services (CCS)</w:t>
      </w:r>
      <w:r w:rsidRPr="00EE69D1">
        <w:rPr>
          <w:rStyle w:val="FootnoteReference"/>
          <w:sz w:val="20"/>
          <w:lang w:val="en-GB"/>
        </w:rPr>
        <w:footnoteReference w:id="13"/>
      </w:r>
      <w:r w:rsidR="00BE45F6">
        <w:rPr>
          <w:sz w:val="24"/>
          <w:szCs w:val="24"/>
          <w:lang w:val="en-GB"/>
        </w:rPr>
        <w:t>;</w:t>
      </w:r>
    </w:p>
    <w:p w:rsidR="00800C65" w:rsidRPr="000D0745" w:rsidRDefault="00800C65" w:rsidP="00C4534A">
      <w:pPr>
        <w:numPr>
          <w:ilvl w:val="0"/>
          <w:numId w:val="6"/>
        </w:numPr>
        <w:ind w:left="993" w:hanging="426"/>
        <w:rPr>
          <w:sz w:val="24"/>
          <w:szCs w:val="24"/>
          <w:lang w:val="en-GB"/>
        </w:rPr>
      </w:pPr>
      <w:r w:rsidRPr="000D0745">
        <w:rPr>
          <w:sz w:val="24"/>
          <w:szCs w:val="24"/>
          <w:lang w:val="en-GB"/>
        </w:rPr>
        <w:t>NHS Shared Business Services (SBS)</w:t>
      </w:r>
      <w:r w:rsidR="00EE0949" w:rsidRPr="00EE69D1">
        <w:rPr>
          <w:rStyle w:val="FootnoteReference"/>
          <w:sz w:val="20"/>
          <w:lang w:val="en-GB"/>
        </w:rPr>
        <w:footnoteReference w:id="14"/>
      </w:r>
      <w:r w:rsidR="00BE45F6">
        <w:rPr>
          <w:sz w:val="24"/>
          <w:szCs w:val="24"/>
          <w:lang w:val="en-GB"/>
        </w:rPr>
        <w:t>;</w:t>
      </w:r>
    </w:p>
    <w:p w:rsidR="00800C65" w:rsidRPr="000D0745" w:rsidRDefault="00800C65" w:rsidP="00C4534A">
      <w:pPr>
        <w:numPr>
          <w:ilvl w:val="0"/>
          <w:numId w:val="6"/>
        </w:numPr>
        <w:ind w:left="993" w:hanging="426"/>
        <w:rPr>
          <w:sz w:val="24"/>
          <w:szCs w:val="24"/>
          <w:lang w:val="en-GB"/>
        </w:rPr>
      </w:pPr>
      <w:r w:rsidRPr="000D0745">
        <w:rPr>
          <w:sz w:val="24"/>
          <w:szCs w:val="24"/>
          <w:lang w:val="en-GB"/>
        </w:rPr>
        <w:t xml:space="preserve">NHS </w:t>
      </w:r>
      <w:proofErr w:type="spellStart"/>
      <w:r w:rsidRPr="000D0745">
        <w:rPr>
          <w:sz w:val="24"/>
          <w:szCs w:val="24"/>
          <w:lang w:val="en-GB"/>
        </w:rPr>
        <w:t>Supplychain</w:t>
      </w:r>
      <w:proofErr w:type="spellEnd"/>
      <w:r w:rsidR="00EE0949" w:rsidRPr="00EE69D1">
        <w:rPr>
          <w:rStyle w:val="FootnoteReference"/>
          <w:sz w:val="20"/>
          <w:lang w:val="en-GB"/>
        </w:rPr>
        <w:footnoteReference w:id="15"/>
      </w:r>
      <w:r w:rsidR="00BE45F6">
        <w:rPr>
          <w:sz w:val="24"/>
          <w:szCs w:val="24"/>
          <w:lang w:val="en-GB"/>
        </w:rPr>
        <w:t>; or</w:t>
      </w:r>
    </w:p>
    <w:p w:rsidR="00800C65" w:rsidRDefault="00800C65" w:rsidP="00C4534A">
      <w:pPr>
        <w:numPr>
          <w:ilvl w:val="0"/>
          <w:numId w:val="6"/>
        </w:numPr>
        <w:ind w:left="993" w:hanging="426"/>
        <w:rPr>
          <w:sz w:val="24"/>
          <w:szCs w:val="24"/>
          <w:lang w:val="en-GB"/>
        </w:rPr>
      </w:pPr>
      <w:r w:rsidRPr="000D0745">
        <w:rPr>
          <w:sz w:val="24"/>
          <w:szCs w:val="24"/>
          <w:lang w:val="en-GB"/>
        </w:rPr>
        <w:t>Department of Health</w:t>
      </w:r>
      <w:r w:rsidR="00EE0949" w:rsidRPr="00EE69D1">
        <w:rPr>
          <w:rStyle w:val="FootnoteReference"/>
          <w:sz w:val="20"/>
          <w:lang w:val="en-GB"/>
        </w:rPr>
        <w:footnoteReference w:id="16"/>
      </w:r>
      <w:r w:rsidR="00BE45F6">
        <w:rPr>
          <w:sz w:val="24"/>
          <w:szCs w:val="24"/>
          <w:lang w:val="en-GB"/>
        </w:rPr>
        <w:t>.</w:t>
      </w:r>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There are two options available to purchase from a framework agreement:</w:t>
      </w:r>
    </w:p>
    <w:p w:rsidR="00800C65" w:rsidRPr="000D0745" w:rsidRDefault="00800C65" w:rsidP="00C4534A">
      <w:pPr>
        <w:rPr>
          <w:sz w:val="24"/>
          <w:szCs w:val="24"/>
          <w:lang w:val="en-GB"/>
        </w:rPr>
      </w:pPr>
    </w:p>
    <w:p w:rsidR="00800C65" w:rsidRPr="00E850BD" w:rsidRDefault="00800C65" w:rsidP="00C4534A">
      <w:pPr>
        <w:numPr>
          <w:ilvl w:val="0"/>
          <w:numId w:val="27"/>
        </w:numPr>
        <w:ind w:left="993" w:hanging="426"/>
        <w:rPr>
          <w:b/>
          <w:sz w:val="24"/>
          <w:szCs w:val="24"/>
          <w:lang w:val="en-GB"/>
        </w:rPr>
      </w:pPr>
      <w:r w:rsidRPr="00E850BD">
        <w:rPr>
          <w:b/>
          <w:sz w:val="24"/>
          <w:szCs w:val="24"/>
          <w:lang w:val="en-GB"/>
        </w:rPr>
        <w:t>Apply the terms of the framework agreement:</w:t>
      </w:r>
    </w:p>
    <w:p w:rsidR="00800C65" w:rsidRPr="000D0745" w:rsidRDefault="00800C65" w:rsidP="00C4534A">
      <w:pPr>
        <w:ind w:left="993"/>
        <w:rPr>
          <w:sz w:val="24"/>
          <w:szCs w:val="24"/>
          <w:lang w:val="en-GB"/>
        </w:rPr>
      </w:pPr>
      <w:r w:rsidRPr="000D0745">
        <w:rPr>
          <w:sz w:val="24"/>
          <w:szCs w:val="24"/>
          <w:lang w:val="en-GB"/>
        </w:rPr>
        <w:t>This option would apply when the terms and conditions of a purchase are set out (e.g. Provider A is cheaper than provider B for the product you are looking for therefore no competition is required).</w:t>
      </w:r>
    </w:p>
    <w:p w:rsidR="00800C65" w:rsidRPr="000D0745" w:rsidRDefault="00800C65" w:rsidP="00C4534A">
      <w:pPr>
        <w:ind w:left="993" w:hanging="426"/>
        <w:rPr>
          <w:sz w:val="24"/>
          <w:szCs w:val="24"/>
          <w:lang w:val="en-GB"/>
        </w:rPr>
      </w:pPr>
    </w:p>
    <w:p w:rsidR="00800C65" w:rsidRPr="00E850BD" w:rsidRDefault="00800C65" w:rsidP="00C4534A">
      <w:pPr>
        <w:numPr>
          <w:ilvl w:val="0"/>
          <w:numId w:val="27"/>
        </w:numPr>
        <w:ind w:left="993" w:hanging="426"/>
        <w:rPr>
          <w:b/>
          <w:sz w:val="24"/>
          <w:szCs w:val="24"/>
          <w:lang w:val="en-GB"/>
        </w:rPr>
      </w:pPr>
      <w:r w:rsidRPr="00E850BD">
        <w:rPr>
          <w:b/>
          <w:sz w:val="24"/>
          <w:szCs w:val="24"/>
          <w:lang w:val="en-GB"/>
        </w:rPr>
        <w:t>Hold a mini-competition:</w:t>
      </w:r>
    </w:p>
    <w:p w:rsidR="00800C65" w:rsidRPr="002B6D96" w:rsidRDefault="00800C65" w:rsidP="00C4534A">
      <w:pPr>
        <w:ind w:left="993"/>
        <w:rPr>
          <w:sz w:val="24"/>
          <w:szCs w:val="24"/>
          <w:lang w:val="en-GB"/>
        </w:rPr>
      </w:pPr>
      <w:r w:rsidRPr="000D0745">
        <w:rPr>
          <w:sz w:val="24"/>
          <w:szCs w:val="24"/>
          <w:lang w:val="en-GB"/>
        </w:rPr>
        <w:t xml:space="preserve">Where the requirements are more complex </w:t>
      </w:r>
      <w:r w:rsidR="001A57CE">
        <w:rPr>
          <w:sz w:val="24"/>
          <w:szCs w:val="24"/>
          <w:lang w:val="en-GB"/>
        </w:rPr>
        <w:t>S</w:t>
      </w:r>
      <w:r w:rsidR="002B6D96">
        <w:rPr>
          <w:sz w:val="24"/>
          <w:szCs w:val="24"/>
          <w:lang w:val="en-GB"/>
        </w:rPr>
        <w:t>CCG will hold a mini-competition or ‘call for further competition’</w:t>
      </w:r>
      <w:r w:rsidR="00147B8C">
        <w:rPr>
          <w:sz w:val="24"/>
          <w:szCs w:val="24"/>
          <w:lang w:val="en-GB"/>
        </w:rPr>
        <w:t>. Note,</w:t>
      </w:r>
      <w:r w:rsidR="002B6D96">
        <w:rPr>
          <w:sz w:val="24"/>
          <w:szCs w:val="24"/>
          <w:lang w:val="en-GB"/>
        </w:rPr>
        <w:t xml:space="preserve"> </w:t>
      </w:r>
      <w:r w:rsidR="001A57CE">
        <w:rPr>
          <w:sz w:val="24"/>
          <w:szCs w:val="24"/>
          <w:lang w:val="en-GB"/>
        </w:rPr>
        <w:t>S</w:t>
      </w:r>
      <w:r w:rsidR="002B6D96">
        <w:rPr>
          <w:sz w:val="24"/>
          <w:szCs w:val="24"/>
          <w:lang w:val="en-GB"/>
        </w:rPr>
        <w:t xml:space="preserve">CCG cannot just pick suppliers off the list </w:t>
      </w:r>
      <w:r w:rsidR="00147B8C">
        <w:rPr>
          <w:sz w:val="24"/>
          <w:szCs w:val="24"/>
          <w:lang w:val="en-GB"/>
        </w:rPr>
        <w:t>and should</w:t>
      </w:r>
      <w:r w:rsidR="002B6D96">
        <w:rPr>
          <w:sz w:val="24"/>
          <w:szCs w:val="24"/>
          <w:lang w:val="en-GB"/>
        </w:rPr>
        <w:t xml:space="preserve"> </w:t>
      </w:r>
      <w:r w:rsidR="00147B8C">
        <w:rPr>
          <w:sz w:val="24"/>
          <w:szCs w:val="24"/>
          <w:lang w:val="en-GB"/>
        </w:rPr>
        <w:t>approach</w:t>
      </w:r>
      <w:r w:rsidR="002B6D96">
        <w:rPr>
          <w:sz w:val="24"/>
          <w:szCs w:val="24"/>
          <w:lang w:val="en-GB"/>
        </w:rPr>
        <w:t xml:space="preserve"> </w:t>
      </w:r>
      <w:r w:rsidR="002B6D96" w:rsidRPr="002B6D96">
        <w:rPr>
          <w:i/>
          <w:sz w:val="24"/>
          <w:szCs w:val="24"/>
          <w:u w:val="single"/>
          <w:lang w:val="en-GB"/>
        </w:rPr>
        <w:t>all</w:t>
      </w:r>
      <w:r w:rsidR="002B6D96">
        <w:rPr>
          <w:i/>
          <w:sz w:val="24"/>
          <w:szCs w:val="24"/>
          <w:u w:val="single"/>
          <w:lang w:val="en-GB"/>
        </w:rPr>
        <w:t xml:space="preserve"> </w:t>
      </w:r>
      <w:r w:rsidR="002B6D96">
        <w:rPr>
          <w:sz w:val="24"/>
          <w:szCs w:val="24"/>
          <w:lang w:val="en-GB"/>
        </w:rPr>
        <w:t>suppliers appointed to the framework in relation to a proposed call-off.</w:t>
      </w:r>
      <w:r w:rsidR="00147B8C">
        <w:rPr>
          <w:sz w:val="24"/>
          <w:szCs w:val="24"/>
          <w:lang w:val="en-GB"/>
        </w:rPr>
        <w:t xml:space="preserve"> In practice, frameworks with a large number of suppliers can, for this reason, be just as time consuming as embarking on a new procurement exercise.</w:t>
      </w:r>
    </w:p>
    <w:p w:rsidR="00800C65" w:rsidRPr="000D0745" w:rsidRDefault="00800C65" w:rsidP="00C4534A">
      <w:pPr>
        <w:ind w:left="993"/>
        <w:rPr>
          <w:sz w:val="24"/>
          <w:szCs w:val="24"/>
          <w:lang w:val="en-GB"/>
        </w:rPr>
      </w:pPr>
    </w:p>
    <w:p w:rsidR="00800C65" w:rsidRDefault="00800C65" w:rsidP="00C4534A">
      <w:pPr>
        <w:ind w:left="567"/>
        <w:rPr>
          <w:sz w:val="24"/>
          <w:szCs w:val="24"/>
          <w:lang w:val="en-GB"/>
        </w:rPr>
      </w:pPr>
      <w:r w:rsidRPr="000D0745">
        <w:rPr>
          <w:sz w:val="24"/>
          <w:szCs w:val="24"/>
          <w:lang w:val="en-GB"/>
        </w:rPr>
        <w:t xml:space="preserve">The purchaser can be assured that the providers on a framework are financially stable and that the goods and/or services on offer are of a high quality because the suppliers have already been approved and rigorously assessed. Any purchase made through a framework is also compliant with procurement legislation, provided that the rules to engage providers </w:t>
      </w:r>
      <w:r w:rsidR="002525E1">
        <w:rPr>
          <w:sz w:val="24"/>
          <w:szCs w:val="24"/>
          <w:lang w:val="en-GB"/>
        </w:rPr>
        <w:t xml:space="preserve">through the terms of the framework </w:t>
      </w:r>
      <w:r w:rsidRPr="000D0745">
        <w:rPr>
          <w:sz w:val="24"/>
          <w:szCs w:val="24"/>
          <w:lang w:val="en-GB"/>
        </w:rPr>
        <w:t>have been followed.</w:t>
      </w:r>
    </w:p>
    <w:p w:rsidR="002B6D96" w:rsidRDefault="002B6D96" w:rsidP="00C4534A">
      <w:pPr>
        <w:ind w:left="567"/>
        <w:rPr>
          <w:sz w:val="24"/>
          <w:szCs w:val="24"/>
          <w:lang w:val="en-GB"/>
        </w:rPr>
      </w:pPr>
    </w:p>
    <w:p w:rsidR="002B6D96" w:rsidRDefault="002B6D96" w:rsidP="00C4534A">
      <w:pPr>
        <w:ind w:left="567"/>
        <w:rPr>
          <w:sz w:val="24"/>
          <w:szCs w:val="24"/>
          <w:lang w:val="en-GB"/>
        </w:rPr>
      </w:pPr>
      <w:r>
        <w:rPr>
          <w:sz w:val="24"/>
          <w:szCs w:val="24"/>
          <w:lang w:val="en-GB"/>
        </w:rPr>
        <w:t xml:space="preserve">The </w:t>
      </w:r>
      <w:proofErr w:type="spellStart"/>
      <w:r w:rsidR="001A57CE">
        <w:rPr>
          <w:sz w:val="24"/>
          <w:szCs w:val="24"/>
          <w:lang w:val="en-GB"/>
        </w:rPr>
        <w:t>SYPS</w:t>
      </w:r>
      <w:r>
        <w:rPr>
          <w:sz w:val="24"/>
          <w:szCs w:val="24"/>
          <w:lang w:val="en-GB"/>
        </w:rPr>
        <w:t>can</w:t>
      </w:r>
      <w:proofErr w:type="spellEnd"/>
      <w:r>
        <w:rPr>
          <w:sz w:val="24"/>
          <w:szCs w:val="24"/>
          <w:lang w:val="en-GB"/>
        </w:rPr>
        <w:t xml:space="preserve"> advise commissioners on either the use of existing framework agreements or the procurement of a new framework agreement.</w:t>
      </w:r>
    </w:p>
    <w:p w:rsidR="00DF2EB3" w:rsidRPr="000D0745" w:rsidRDefault="00DF2EB3" w:rsidP="00C4534A">
      <w:pPr>
        <w:rPr>
          <w:sz w:val="24"/>
          <w:szCs w:val="24"/>
          <w:lang w:val="en-GB"/>
        </w:rPr>
      </w:pPr>
    </w:p>
    <w:p w:rsidR="00800C65" w:rsidRPr="000D0745" w:rsidRDefault="00800C65" w:rsidP="00C4534A">
      <w:pPr>
        <w:pStyle w:val="Heading1"/>
        <w:numPr>
          <w:ilvl w:val="1"/>
          <w:numId w:val="19"/>
        </w:numPr>
        <w:ind w:left="567" w:hanging="567"/>
        <w:rPr>
          <w:rFonts w:eastAsia="Arial"/>
          <w:sz w:val="24"/>
          <w:szCs w:val="24"/>
        </w:rPr>
      </w:pPr>
      <w:bookmarkStart w:id="83" w:name="_Toc363823771"/>
      <w:bookmarkStart w:id="84" w:name="_Toc454456018"/>
      <w:r w:rsidRPr="000D0745">
        <w:rPr>
          <w:rFonts w:eastAsia="Arial"/>
          <w:sz w:val="24"/>
          <w:szCs w:val="24"/>
        </w:rPr>
        <w:t>Any Qualified Provider (AQP)</w:t>
      </w:r>
      <w:bookmarkEnd w:id="83"/>
      <w:bookmarkEnd w:id="84"/>
    </w:p>
    <w:p w:rsidR="00800C65" w:rsidRPr="000D0745" w:rsidRDefault="00800C65" w:rsidP="00C4534A">
      <w:pPr>
        <w:rPr>
          <w:sz w:val="24"/>
          <w:szCs w:val="24"/>
          <w:lang w:val="en-GB"/>
        </w:rPr>
      </w:pPr>
    </w:p>
    <w:p w:rsidR="00800C65" w:rsidRDefault="00800C65" w:rsidP="00C4534A">
      <w:pPr>
        <w:ind w:left="567"/>
        <w:rPr>
          <w:sz w:val="24"/>
          <w:szCs w:val="24"/>
          <w:lang w:val="en-GB"/>
        </w:rPr>
      </w:pPr>
      <w:r w:rsidRPr="000D0745">
        <w:rPr>
          <w:sz w:val="24"/>
          <w:szCs w:val="24"/>
          <w:lang w:val="en-GB"/>
        </w:rPr>
        <w:t xml:space="preserve">The use of AQP should be determined at a local level where increasing the role of competition and patient choice can be proven to improve quality and patient care.  Providers must be Care Quality Commission (CQC) registered (or, where CQC registration is not required to deliver the service, an appropriate registration body) or licensed by </w:t>
      </w:r>
      <w:r w:rsidR="003E2EE2">
        <w:rPr>
          <w:sz w:val="24"/>
          <w:szCs w:val="24"/>
          <w:lang w:val="en-GB"/>
        </w:rPr>
        <w:t>NHSI</w:t>
      </w:r>
      <w:r w:rsidRPr="000D0745">
        <w:rPr>
          <w:sz w:val="24"/>
          <w:szCs w:val="24"/>
          <w:lang w:val="en-GB"/>
        </w:rPr>
        <w:t xml:space="preserve"> to take part in this truncated selection process, and all providers will be required to operate within the same pricing structure.</w:t>
      </w:r>
    </w:p>
    <w:p w:rsidR="00A7257A" w:rsidRDefault="00A7257A" w:rsidP="00C4534A">
      <w:pPr>
        <w:ind w:left="567"/>
        <w:rPr>
          <w:sz w:val="24"/>
          <w:szCs w:val="24"/>
          <w:lang w:val="en-GB"/>
        </w:rPr>
      </w:pPr>
    </w:p>
    <w:p w:rsidR="00A7257A" w:rsidRPr="000D0745" w:rsidRDefault="00A7257A" w:rsidP="00C4534A">
      <w:pPr>
        <w:ind w:left="567"/>
        <w:rPr>
          <w:sz w:val="24"/>
          <w:szCs w:val="24"/>
          <w:lang w:val="en-GB"/>
        </w:rPr>
      </w:pPr>
      <w:r>
        <w:rPr>
          <w:sz w:val="24"/>
          <w:szCs w:val="24"/>
          <w:lang w:val="en-GB"/>
        </w:rPr>
        <w:lastRenderedPageBreak/>
        <w:t xml:space="preserve">The </w:t>
      </w:r>
      <w:proofErr w:type="spellStart"/>
      <w:r w:rsidR="001A57CE">
        <w:rPr>
          <w:sz w:val="24"/>
          <w:szCs w:val="24"/>
          <w:lang w:val="en-GB"/>
        </w:rPr>
        <w:t>SYPS</w:t>
      </w:r>
      <w:r>
        <w:rPr>
          <w:sz w:val="24"/>
          <w:szCs w:val="24"/>
          <w:lang w:val="en-GB"/>
        </w:rPr>
        <w:t>will</w:t>
      </w:r>
      <w:proofErr w:type="spellEnd"/>
      <w:r>
        <w:rPr>
          <w:sz w:val="24"/>
          <w:szCs w:val="24"/>
          <w:lang w:val="en-GB"/>
        </w:rPr>
        <w:t xml:space="preserve"> advise commissioners on the suitability and applicability of the Any Qualified Provider procurement route.</w:t>
      </w:r>
    </w:p>
    <w:p w:rsidR="00800C65" w:rsidRDefault="00800C65" w:rsidP="00C4534A">
      <w:pPr>
        <w:rPr>
          <w:sz w:val="24"/>
          <w:szCs w:val="24"/>
          <w:lang w:val="en-GB"/>
        </w:rPr>
      </w:pPr>
    </w:p>
    <w:p w:rsidR="001A57CE" w:rsidRDefault="001A57CE" w:rsidP="00C4534A">
      <w:pPr>
        <w:rPr>
          <w:sz w:val="24"/>
          <w:szCs w:val="24"/>
          <w:lang w:val="en-GB"/>
        </w:rPr>
      </w:pPr>
    </w:p>
    <w:p w:rsidR="001A57CE" w:rsidRPr="000D0745" w:rsidRDefault="001A57CE" w:rsidP="00C4534A">
      <w:pPr>
        <w:rPr>
          <w:sz w:val="24"/>
          <w:szCs w:val="24"/>
          <w:lang w:val="en-GB"/>
        </w:rPr>
      </w:pPr>
    </w:p>
    <w:p w:rsidR="00800C65" w:rsidRPr="000D0745" w:rsidRDefault="00800C65" w:rsidP="00C4534A">
      <w:pPr>
        <w:pStyle w:val="Heading1"/>
        <w:numPr>
          <w:ilvl w:val="1"/>
          <w:numId w:val="19"/>
        </w:numPr>
        <w:ind w:left="567" w:hanging="567"/>
        <w:rPr>
          <w:rFonts w:eastAsia="Arial"/>
          <w:sz w:val="24"/>
          <w:szCs w:val="24"/>
        </w:rPr>
      </w:pPr>
      <w:bookmarkStart w:id="85" w:name="_Toc363823772"/>
      <w:bookmarkStart w:id="86" w:name="_Ref401838661"/>
      <w:bookmarkStart w:id="87" w:name="_Ref401838672"/>
      <w:bookmarkStart w:id="88" w:name="_Toc454456019"/>
      <w:r w:rsidRPr="000D0745">
        <w:rPr>
          <w:rFonts w:eastAsia="Arial"/>
          <w:sz w:val="24"/>
          <w:szCs w:val="24"/>
        </w:rPr>
        <w:t>Pilot Projects</w:t>
      </w:r>
      <w:bookmarkEnd w:id="85"/>
      <w:bookmarkEnd w:id="86"/>
      <w:bookmarkEnd w:id="87"/>
      <w:bookmarkEnd w:id="88"/>
    </w:p>
    <w:p w:rsidR="00800C65" w:rsidRPr="000D0745" w:rsidRDefault="00800C65" w:rsidP="00C4534A">
      <w:pPr>
        <w:rPr>
          <w:sz w:val="24"/>
          <w:szCs w:val="24"/>
          <w:lang w:val="en-GB"/>
        </w:rPr>
      </w:pPr>
    </w:p>
    <w:p w:rsidR="00800C65" w:rsidRDefault="00800C65" w:rsidP="00C4534A">
      <w:pPr>
        <w:ind w:left="567"/>
        <w:rPr>
          <w:sz w:val="24"/>
          <w:szCs w:val="24"/>
          <w:lang w:val="en-GB"/>
        </w:rPr>
      </w:pPr>
      <w:r w:rsidRPr="000D0745">
        <w:rPr>
          <w:sz w:val="24"/>
          <w:szCs w:val="24"/>
          <w:lang w:val="en-GB"/>
        </w:rPr>
        <w:t>In order to identify new working practices through the use of</w:t>
      </w:r>
      <w:r w:rsidR="00DF2EB3" w:rsidRPr="000D0745">
        <w:rPr>
          <w:sz w:val="24"/>
          <w:szCs w:val="24"/>
          <w:lang w:val="en-GB"/>
        </w:rPr>
        <w:t xml:space="preserve"> pilot projects, </w:t>
      </w:r>
      <w:r w:rsidR="001A57CE">
        <w:rPr>
          <w:sz w:val="24"/>
          <w:szCs w:val="24"/>
          <w:lang w:val="en-GB"/>
        </w:rPr>
        <w:t>S</w:t>
      </w:r>
      <w:r w:rsidR="00DF2EB3" w:rsidRPr="000D0745">
        <w:rPr>
          <w:sz w:val="24"/>
          <w:szCs w:val="24"/>
          <w:lang w:val="en-GB"/>
        </w:rPr>
        <w:t>CCG</w:t>
      </w:r>
      <w:r w:rsidRPr="000D0745">
        <w:rPr>
          <w:sz w:val="24"/>
          <w:szCs w:val="24"/>
          <w:lang w:val="en-GB"/>
        </w:rPr>
        <w:t xml:space="preserve"> must establish that a project is in fact a pilot </w:t>
      </w:r>
      <w:r w:rsidRPr="001A57CE">
        <w:rPr>
          <w:i/>
          <w:sz w:val="24"/>
          <w:szCs w:val="24"/>
          <w:lang w:val="en-GB"/>
        </w:rPr>
        <w:t>via</w:t>
      </w:r>
      <w:r w:rsidRPr="000D0745">
        <w:rPr>
          <w:sz w:val="24"/>
          <w:szCs w:val="24"/>
          <w:lang w:val="en-GB"/>
        </w:rPr>
        <w:t xml:space="preserve"> the following definitions:</w:t>
      </w:r>
    </w:p>
    <w:p w:rsidR="00BE45F6" w:rsidRPr="000D0745" w:rsidRDefault="00BE45F6" w:rsidP="00C4534A">
      <w:pPr>
        <w:ind w:left="567"/>
        <w:rPr>
          <w:sz w:val="24"/>
          <w:szCs w:val="24"/>
          <w:lang w:val="en-GB"/>
        </w:rPr>
      </w:pPr>
    </w:p>
    <w:p w:rsidR="00800C65" w:rsidRPr="000D0745" w:rsidRDefault="00BE45F6" w:rsidP="00C4534A">
      <w:pPr>
        <w:numPr>
          <w:ilvl w:val="0"/>
          <w:numId w:val="7"/>
        </w:numPr>
        <w:ind w:left="993" w:hanging="426"/>
        <w:rPr>
          <w:sz w:val="24"/>
          <w:szCs w:val="24"/>
          <w:lang w:val="en-GB"/>
        </w:rPr>
      </w:pPr>
      <w:r>
        <w:rPr>
          <w:sz w:val="24"/>
          <w:szCs w:val="24"/>
          <w:lang w:val="en-GB"/>
        </w:rPr>
        <w:t>There is a specific goal;</w:t>
      </w:r>
    </w:p>
    <w:p w:rsidR="00800C65" w:rsidRPr="000D0745" w:rsidRDefault="00800C65" w:rsidP="00C4534A">
      <w:pPr>
        <w:numPr>
          <w:ilvl w:val="0"/>
          <w:numId w:val="7"/>
        </w:numPr>
        <w:ind w:left="993" w:hanging="426"/>
        <w:rPr>
          <w:sz w:val="24"/>
          <w:szCs w:val="24"/>
          <w:lang w:val="en-GB"/>
        </w:rPr>
      </w:pPr>
      <w:r w:rsidRPr="000D0745">
        <w:rPr>
          <w:sz w:val="24"/>
          <w:szCs w:val="24"/>
          <w:lang w:val="en-GB"/>
        </w:rPr>
        <w:t>The timetable is clearly laid out with defined periods for:</w:t>
      </w:r>
    </w:p>
    <w:p w:rsidR="00800C65" w:rsidRPr="000D0745" w:rsidRDefault="00BE45F6" w:rsidP="00C4534A">
      <w:pPr>
        <w:numPr>
          <w:ilvl w:val="1"/>
          <w:numId w:val="7"/>
        </w:numPr>
        <w:ind w:hanging="447"/>
        <w:rPr>
          <w:sz w:val="24"/>
          <w:szCs w:val="24"/>
          <w:lang w:val="en-GB"/>
        </w:rPr>
      </w:pPr>
      <w:r>
        <w:rPr>
          <w:sz w:val="24"/>
          <w:szCs w:val="24"/>
          <w:lang w:val="en-GB"/>
        </w:rPr>
        <w:t>Start date;</w:t>
      </w:r>
    </w:p>
    <w:p w:rsidR="00800C65" w:rsidRPr="000D0745" w:rsidRDefault="00BE45F6" w:rsidP="00C4534A">
      <w:pPr>
        <w:numPr>
          <w:ilvl w:val="1"/>
          <w:numId w:val="7"/>
        </w:numPr>
        <w:ind w:hanging="447"/>
        <w:rPr>
          <w:sz w:val="24"/>
          <w:szCs w:val="24"/>
          <w:lang w:val="en-GB"/>
        </w:rPr>
      </w:pPr>
      <w:r>
        <w:rPr>
          <w:sz w:val="24"/>
          <w:szCs w:val="24"/>
          <w:lang w:val="en-GB"/>
        </w:rPr>
        <w:t>End date; and</w:t>
      </w:r>
    </w:p>
    <w:p w:rsidR="00800C65" w:rsidRPr="000D0745" w:rsidRDefault="00800C65" w:rsidP="00C4534A">
      <w:pPr>
        <w:numPr>
          <w:ilvl w:val="1"/>
          <w:numId w:val="7"/>
        </w:numPr>
        <w:ind w:hanging="447"/>
        <w:rPr>
          <w:sz w:val="24"/>
          <w:szCs w:val="24"/>
          <w:lang w:val="en-GB"/>
        </w:rPr>
      </w:pPr>
      <w:r w:rsidRPr="000D0745">
        <w:rPr>
          <w:sz w:val="24"/>
          <w:szCs w:val="24"/>
          <w:lang w:val="en-GB"/>
        </w:rPr>
        <w:t>Period for lessons to be learnt</w:t>
      </w:r>
      <w:r w:rsidR="00BE45F6">
        <w:rPr>
          <w:sz w:val="24"/>
          <w:szCs w:val="24"/>
          <w:lang w:val="en-GB"/>
        </w:rPr>
        <w:t>.</w:t>
      </w:r>
    </w:p>
    <w:p w:rsidR="00800C65" w:rsidRPr="000D0745" w:rsidRDefault="00800C65" w:rsidP="00C4534A">
      <w:pPr>
        <w:numPr>
          <w:ilvl w:val="0"/>
          <w:numId w:val="7"/>
        </w:numPr>
        <w:ind w:left="993" w:hanging="426"/>
        <w:rPr>
          <w:sz w:val="24"/>
          <w:szCs w:val="24"/>
          <w:lang w:val="en-GB"/>
        </w:rPr>
      </w:pPr>
      <w:r w:rsidRPr="000D0745">
        <w:rPr>
          <w:sz w:val="24"/>
          <w:szCs w:val="24"/>
          <w:lang w:val="en-GB"/>
        </w:rPr>
        <w:t>Clear and signed contract with the pilot service provider</w:t>
      </w:r>
      <w:r w:rsidR="00BE45F6">
        <w:rPr>
          <w:sz w:val="24"/>
          <w:szCs w:val="24"/>
          <w:lang w:val="en-GB"/>
        </w:rPr>
        <w:t>;</w:t>
      </w:r>
    </w:p>
    <w:p w:rsidR="00800C65" w:rsidRPr="000D0745" w:rsidRDefault="00800C65" w:rsidP="00C4534A">
      <w:pPr>
        <w:numPr>
          <w:ilvl w:val="0"/>
          <w:numId w:val="7"/>
        </w:numPr>
        <w:ind w:left="993" w:hanging="426"/>
        <w:rPr>
          <w:sz w:val="24"/>
          <w:szCs w:val="24"/>
          <w:lang w:val="en-GB"/>
        </w:rPr>
      </w:pPr>
      <w:r w:rsidRPr="000D0745">
        <w:rPr>
          <w:sz w:val="24"/>
          <w:szCs w:val="24"/>
          <w:lang w:val="en-GB"/>
        </w:rPr>
        <w:t>Rob</w:t>
      </w:r>
      <w:r w:rsidR="00BE45F6">
        <w:rPr>
          <w:sz w:val="24"/>
          <w:szCs w:val="24"/>
          <w:lang w:val="en-GB"/>
        </w:rPr>
        <w:t>ust plan/process for evaluation; and/or</w:t>
      </w:r>
    </w:p>
    <w:p w:rsidR="00677986" w:rsidRPr="009951BD" w:rsidRDefault="00800C65" w:rsidP="009951BD">
      <w:pPr>
        <w:numPr>
          <w:ilvl w:val="0"/>
          <w:numId w:val="7"/>
        </w:numPr>
        <w:ind w:left="993" w:hanging="426"/>
        <w:rPr>
          <w:sz w:val="24"/>
          <w:szCs w:val="24"/>
          <w:lang w:val="en-GB"/>
        </w:rPr>
      </w:pPr>
      <w:r w:rsidRPr="000D0745">
        <w:rPr>
          <w:sz w:val="24"/>
          <w:szCs w:val="24"/>
          <w:lang w:val="en-GB"/>
        </w:rPr>
        <w:t>Right to terminate a pilot must be included if it is found to be unsafe or the outcomes cannot be met.</w:t>
      </w:r>
    </w:p>
    <w:p w:rsidR="00800C65" w:rsidRPr="000D0745" w:rsidRDefault="00800C65" w:rsidP="00C4534A">
      <w:pPr>
        <w:rPr>
          <w:sz w:val="24"/>
          <w:szCs w:val="24"/>
          <w:lang w:val="en-GB"/>
        </w:rPr>
      </w:pPr>
    </w:p>
    <w:p w:rsidR="009951BD" w:rsidRDefault="00800C65" w:rsidP="009951BD">
      <w:pPr>
        <w:numPr>
          <w:ilvl w:val="0"/>
          <w:numId w:val="7"/>
        </w:numPr>
        <w:rPr>
          <w:bCs/>
          <w:sz w:val="24"/>
          <w:szCs w:val="24"/>
        </w:rPr>
      </w:pPr>
      <w:r w:rsidRPr="000D0745">
        <w:rPr>
          <w:sz w:val="24"/>
          <w:szCs w:val="24"/>
          <w:lang w:val="en-GB"/>
        </w:rPr>
        <w:t>It is important for commissioners to use pilot projects only in circumstances where the clinical outputs are not known or cannot be accurat</w:t>
      </w:r>
      <w:r w:rsidR="00DF2EB3" w:rsidRPr="000D0745">
        <w:rPr>
          <w:sz w:val="24"/>
          <w:szCs w:val="24"/>
          <w:lang w:val="en-GB"/>
        </w:rPr>
        <w:t>ely predicted</w:t>
      </w:r>
      <w:r w:rsidR="009951BD">
        <w:rPr>
          <w:sz w:val="24"/>
          <w:szCs w:val="24"/>
          <w:lang w:val="en-GB"/>
        </w:rPr>
        <w:t xml:space="preserve">. </w:t>
      </w:r>
      <w:r w:rsidR="00677986">
        <w:rPr>
          <w:sz w:val="24"/>
          <w:szCs w:val="24"/>
          <w:lang w:val="en-GB"/>
        </w:rPr>
        <w:t>Pilot projects are not intended to be used to avoid the Procurement Regulations (</w:t>
      </w:r>
      <w:r w:rsidR="00A04536">
        <w:rPr>
          <w:sz w:val="24"/>
          <w:szCs w:val="24"/>
          <w:lang w:val="en-GB"/>
        </w:rPr>
        <w:t xml:space="preserve">See </w:t>
      </w:r>
      <w:r w:rsidR="00677986">
        <w:rPr>
          <w:sz w:val="24"/>
          <w:szCs w:val="24"/>
          <w:lang w:val="en-GB"/>
        </w:rPr>
        <w:t>2.6)</w:t>
      </w:r>
      <w:r w:rsidR="009951BD">
        <w:rPr>
          <w:sz w:val="24"/>
          <w:szCs w:val="24"/>
          <w:lang w:val="en-GB"/>
        </w:rPr>
        <w:t xml:space="preserve"> and so a</w:t>
      </w:r>
      <w:r w:rsidR="009951BD" w:rsidRPr="009951BD">
        <w:rPr>
          <w:sz w:val="24"/>
          <w:szCs w:val="24"/>
          <w:lang w:val="en-GB"/>
        </w:rPr>
        <w:t xml:space="preserve"> </w:t>
      </w:r>
      <w:r w:rsidR="009951BD" w:rsidRPr="009951BD">
        <w:rPr>
          <w:bCs/>
          <w:sz w:val="24"/>
          <w:szCs w:val="24"/>
        </w:rPr>
        <w:t>Competitive Tender Waiver request form must have been signed</w:t>
      </w:r>
      <w:r w:rsidR="009951BD">
        <w:rPr>
          <w:bCs/>
          <w:sz w:val="24"/>
          <w:szCs w:val="24"/>
        </w:rPr>
        <w:t>.</w:t>
      </w:r>
    </w:p>
    <w:p w:rsidR="009951BD" w:rsidRDefault="009951BD" w:rsidP="00702500">
      <w:pPr>
        <w:pStyle w:val="ListParagraph"/>
        <w:rPr>
          <w:bCs/>
          <w:sz w:val="24"/>
          <w:szCs w:val="24"/>
        </w:rPr>
      </w:pPr>
    </w:p>
    <w:p w:rsidR="009951BD" w:rsidRPr="009951BD" w:rsidRDefault="009951BD" w:rsidP="00702500">
      <w:pPr>
        <w:ind w:left="720"/>
        <w:rPr>
          <w:bCs/>
          <w:sz w:val="24"/>
          <w:szCs w:val="24"/>
        </w:rPr>
      </w:pPr>
    </w:p>
    <w:p w:rsidR="00800C65" w:rsidRPr="000D0745" w:rsidRDefault="00DF2EB3" w:rsidP="00C4534A">
      <w:pPr>
        <w:ind w:left="567"/>
        <w:rPr>
          <w:sz w:val="24"/>
          <w:szCs w:val="24"/>
          <w:lang w:val="en-GB"/>
        </w:rPr>
      </w:pPr>
      <w:r w:rsidRPr="000D0745">
        <w:rPr>
          <w:sz w:val="24"/>
          <w:szCs w:val="24"/>
          <w:lang w:val="en-GB"/>
        </w:rPr>
        <w:t>The CCG</w:t>
      </w:r>
      <w:r w:rsidR="00800C65" w:rsidRPr="000D0745">
        <w:rPr>
          <w:sz w:val="24"/>
          <w:szCs w:val="24"/>
          <w:lang w:val="en-GB"/>
        </w:rPr>
        <w:t xml:space="preserve"> should con</w:t>
      </w:r>
      <w:r w:rsidRPr="000D0745">
        <w:rPr>
          <w:sz w:val="24"/>
          <w:szCs w:val="24"/>
          <w:lang w:val="en-GB"/>
        </w:rPr>
        <w:t>tact the</w:t>
      </w:r>
      <w:r w:rsidR="00043D1B">
        <w:rPr>
          <w:sz w:val="24"/>
          <w:szCs w:val="24"/>
          <w:lang w:val="en-GB"/>
        </w:rPr>
        <w:t xml:space="preserve"> </w:t>
      </w:r>
      <w:proofErr w:type="spellStart"/>
      <w:r w:rsidR="001A57CE">
        <w:rPr>
          <w:sz w:val="24"/>
          <w:szCs w:val="24"/>
          <w:lang w:val="en-GB"/>
        </w:rPr>
        <w:t>SYPS</w:t>
      </w:r>
      <w:r w:rsidRPr="000D0745">
        <w:rPr>
          <w:sz w:val="24"/>
          <w:szCs w:val="24"/>
          <w:lang w:val="en-GB"/>
        </w:rPr>
        <w:t>for</w:t>
      </w:r>
      <w:proofErr w:type="spellEnd"/>
      <w:r w:rsidRPr="000D0745">
        <w:rPr>
          <w:sz w:val="24"/>
          <w:szCs w:val="24"/>
          <w:lang w:val="en-GB"/>
        </w:rPr>
        <w:t xml:space="preserve"> specialist advice</w:t>
      </w:r>
      <w:r w:rsidR="00800C65" w:rsidRPr="000D0745">
        <w:rPr>
          <w:sz w:val="24"/>
          <w:szCs w:val="24"/>
          <w:lang w:val="en-GB"/>
        </w:rPr>
        <w:t xml:space="preserve"> before embarking on a pilot project to ensure compliance with </w:t>
      </w:r>
      <w:r w:rsidR="00A7257A">
        <w:rPr>
          <w:sz w:val="24"/>
          <w:szCs w:val="24"/>
          <w:lang w:val="en-GB"/>
        </w:rPr>
        <w:t>procurement and competition law.</w:t>
      </w:r>
    </w:p>
    <w:p w:rsidR="00800C65" w:rsidRPr="000D0745" w:rsidRDefault="00800C65" w:rsidP="00C4534A">
      <w:pPr>
        <w:rPr>
          <w:sz w:val="24"/>
          <w:szCs w:val="24"/>
          <w:lang w:val="en-GB"/>
        </w:rPr>
      </w:pPr>
    </w:p>
    <w:p w:rsidR="00BE45F6" w:rsidRDefault="00AF3611" w:rsidP="00C4534A">
      <w:pPr>
        <w:numPr>
          <w:ilvl w:val="1"/>
          <w:numId w:val="19"/>
        </w:numPr>
        <w:ind w:left="567" w:hanging="567"/>
        <w:rPr>
          <w:b/>
          <w:sz w:val="24"/>
          <w:szCs w:val="24"/>
          <w:lang w:val="en-GB"/>
        </w:rPr>
      </w:pPr>
      <w:r w:rsidRPr="000D0745">
        <w:rPr>
          <w:b/>
          <w:sz w:val="24"/>
          <w:szCs w:val="24"/>
          <w:lang w:val="en-GB"/>
        </w:rPr>
        <w:t>Dispute Avoidance</w:t>
      </w:r>
    </w:p>
    <w:p w:rsidR="00800C65" w:rsidRPr="000D0745" w:rsidRDefault="00AF3611" w:rsidP="00C4534A">
      <w:pPr>
        <w:ind w:left="720"/>
        <w:rPr>
          <w:b/>
          <w:sz w:val="24"/>
          <w:szCs w:val="24"/>
          <w:lang w:val="en-GB"/>
        </w:rPr>
      </w:pPr>
      <w:r w:rsidRPr="000D0745">
        <w:rPr>
          <w:b/>
          <w:sz w:val="24"/>
          <w:szCs w:val="24"/>
          <w:lang w:val="en-GB"/>
        </w:rPr>
        <w:t xml:space="preserve"> </w:t>
      </w:r>
    </w:p>
    <w:p w:rsidR="00AF3611" w:rsidRPr="000D0745" w:rsidRDefault="00AF3611" w:rsidP="00C4534A">
      <w:pPr>
        <w:ind w:left="567"/>
        <w:rPr>
          <w:b/>
          <w:sz w:val="24"/>
          <w:szCs w:val="24"/>
          <w:lang w:val="en-GB"/>
        </w:rPr>
      </w:pPr>
      <w:r w:rsidRPr="0015368D">
        <w:rPr>
          <w:bCs/>
          <w:sz w:val="24"/>
          <w:szCs w:val="24"/>
          <w:lang w:val="en-GB"/>
        </w:rPr>
        <w:t>Where disputes arise as a result of a competitive procurement process the CCG dispute policy will apply</w:t>
      </w:r>
      <w:r w:rsidR="0015368D">
        <w:rPr>
          <w:bCs/>
          <w:sz w:val="24"/>
          <w:szCs w:val="24"/>
          <w:lang w:val="en-GB"/>
        </w:rPr>
        <w:t>.</w:t>
      </w:r>
      <w:r w:rsidRPr="0015368D">
        <w:rPr>
          <w:b/>
          <w:sz w:val="24"/>
          <w:szCs w:val="24"/>
          <w:lang w:val="en-GB"/>
        </w:rPr>
        <w:t xml:space="preserve"> </w:t>
      </w:r>
    </w:p>
    <w:p w:rsidR="00614CB9" w:rsidRPr="000D0745" w:rsidRDefault="00614CB9" w:rsidP="00C4534A">
      <w:pPr>
        <w:rPr>
          <w:rFonts w:eastAsia="Arial"/>
          <w:sz w:val="24"/>
          <w:szCs w:val="24"/>
          <w:lang w:val="en-GB"/>
        </w:rPr>
      </w:pPr>
    </w:p>
    <w:p w:rsidR="00800C65" w:rsidRPr="000D0745" w:rsidRDefault="00E53B76" w:rsidP="0030281C">
      <w:pPr>
        <w:pStyle w:val="Heading1"/>
        <w:numPr>
          <w:ilvl w:val="0"/>
          <w:numId w:val="0"/>
        </w:numPr>
        <w:ind w:left="567" w:hanging="567"/>
        <w:rPr>
          <w:rFonts w:eastAsia="Arial"/>
          <w:sz w:val="24"/>
          <w:szCs w:val="24"/>
        </w:rPr>
      </w:pPr>
      <w:bookmarkStart w:id="89" w:name="_Toc363823775"/>
      <w:bookmarkStart w:id="90" w:name="_Toc454456020"/>
      <w:r>
        <w:rPr>
          <w:rFonts w:eastAsia="Arial"/>
          <w:sz w:val="24"/>
          <w:szCs w:val="24"/>
        </w:rPr>
        <w:t>2.25</w:t>
      </w:r>
      <w:r>
        <w:rPr>
          <w:rFonts w:eastAsia="Arial"/>
          <w:sz w:val="24"/>
          <w:szCs w:val="24"/>
        </w:rPr>
        <w:tab/>
      </w:r>
      <w:r w:rsidR="00800C65" w:rsidRPr="000D0745">
        <w:rPr>
          <w:rFonts w:eastAsia="Arial"/>
          <w:sz w:val="24"/>
          <w:szCs w:val="24"/>
        </w:rPr>
        <w:t>Sustainable Procurement</w:t>
      </w:r>
      <w:bookmarkEnd w:id="89"/>
      <w:bookmarkEnd w:id="90"/>
    </w:p>
    <w:p w:rsidR="00800C65" w:rsidRPr="000D0745" w:rsidRDefault="00800C65" w:rsidP="00C4534A">
      <w:pPr>
        <w:rPr>
          <w:sz w:val="24"/>
          <w:szCs w:val="24"/>
          <w:lang w:val="en-GB"/>
        </w:rPr>
      </w:pPr>
    </w:p>
    <w:p w:rsidR="00800C65" w:rsidRPr="000D0745" w:rsidRDefault="001A57CE" w:rsidP="00C4534A">
      <w:pPr>
        <w:ind w:left="567"/>
        <w:rPr>
          <w:sz w:val="24"/>
          <w:szCs w:val="24"/>
          <w:lang w:val="en-GB"/>
        </w:rPr>
      </w:pPr>
      <w:r>
        <w:rPr>
          <w:sz w:val="24"/>
          <w:szCs w:val="24"/>
          <w:lang w:val="en-GB"/>
        </w:rPr>
        <w:t>S</w:t>
      </w:r>
      <w:r w:rsidR="00614CB9" w:rsidRPr="000D0745">
        <w:rPr>
          <w:sz w:val="24"/>
          <w:szCs w:val="24"/>
          <w:lang w:val="en-GB"/>
        </w:rPr>
        <w:t>CCG</w:t>
      </w:r>
      <w:r w:rsidR="00800C65" w:rsidRPr="000D0745">
        <w:rPr>
          <w:sz w:val="24"/>
          <w:szCs w:val="24"/>
          <w:lang w:val="en-GB"/>
        </w:rPr>
        <w:t xml:space="preserve"> </w:t>
      </w:r>
      <w:r w:rsidR="00DF2EB3" w:rsidRPr="000D0745">
        <w:rPr>
          <w:sz w:val="24"/>
          <w:szCs w:val="24"/>
          <w:lang w:val="en-GB"/>
        </w:rPr>
        <w:t xml:space="preserve">is </w:t>
      </w:r>
      <w:r w:rsidR="00800C65" w:rsidRPr="000D0745">
        <w:rPr>
          <w:sz w:val="24"/>
          <w:szCs w:val="24"/>
          <w:lang w:val="en-GB"/>
        </w:rPr>
        <w:t xml:space="preserve">committed to the principles of sustainable development and </w:t>
      </w:r>
      <w:r w:rsidR="00102926" w:rsidRPr="000D0745">
        <w:rPr>
          <w:sz w:val="24"/>
          <w:szCs w:val="24"/>
          <w:lang w:val="en-GB"/>
        </w:rPr>
        <w:t>demonstrates</w:t>
      </w:r>
      <w:r w:rsidR="00800C65" w:rsidRPr="000D0745">
        <w:rPr>
          <w:sz w:val="24"/>
          <w:szCs w:val="24"/>
          <w:lang w:val="en-GB"/>
        </w:rPr>
        <w:t xml:space="preserve"> leadership in sustainable development to support central Government and Department of Health commitments in this area of policy, and the improvement of the nation’s health and wellbeing.</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Sustainable procurement is defined as 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 </w:t>
      </w:r>
    </w:p>
    <w:p w:rsidR="00800C65" w:rsidRPr="000D0745" w:rsidRDefault="00800C65" w:rsidP="00C4534A">
      <w:pPr>
        <w:ind w:left="567"/>
        <w:rPr>
          <w:sz w:val="24"/>
          <w:szCs w:val="24"/>
          <w:lang w:val="en-GB"/>
        </w:rPr>
      </w:pPr>
    </w:p>
    <w:p w:rsidR="00800C65" w:rsidRDefault="00800C65" w:rsidP="00C4534A">
      <w:pPr>
        <w:ind w:left="567"/>
        <w:rPr>
          <w:sz w:val="24"/>
          <w:szCs w:val="24"/>
          <w:lang w:val="en-GB"/>
        </w:rPr>
      </w:pPr>
      <w:r w:rsidRPr="000D0745">
        <w:rPr>
          <w:sz w:val="24"/>
          <w:szCs w:val="24"/>
          <w:lang w:val="en-GB"/>
        </w:rPr>
        <w:lastRenderedPageBreak/>
        <w:t xml:space="preserve">Sustainable procurement should consider the environmental, social and economic consequences of: </w:t>
      </w:r>
    </w:p>
    <w:p w:rsidR="00BE45F6" w:rsidRPr="000D0745" w:rsidRDefault="00BE45F6" w:rsidP="00C4534A">
      <w:pPr>
        <w:ind w:left="567"/>
        <w:rPr>
          <w:sz w:val="24"/>
          <w:szCs w:val="24"/>
          <w:lang w:val="en-GB"/>
        </w:rPr>
      </w:pPr>
    </w:p>
    <w:p w:rsidR="00800C65" w:rsidRPr="000D0745" w:rsidRDefault="00BE45F6" w:rsidP="00C4534A">
      <w:pPr>
        <w:numPr>
          <w:ilvl w:val="0"/>
          <w:numId w:val="28"/>
        </w:numPr>
        <w:ind w:left="993" w:hanging="426"/>
        <w:rPr>
          <w:sz w:val="24"/>
          <w:szCs w:val="24"/>
          <w:lang w:val="en-GB"/>
        </w:rPr>
      </w:pPr>
      <w:r>
        <w:rPr>
          <w:sz w:val="24"/>
          <w:szCs w:val="24"/>
          <w:lang w:val="en-GB"/>
        </w:rPr>
        <w:t>Design;</w:t>
      </w:r>
    </w:p>
    <w:p w:rsidR="00800C65" w:rsidRPr="000D0745" w:rsidRDefault="00BE45F6" w:rsidP="00C4534A">
      <w:pPr>
        <w:numPr>
          <w:ilvl w:val="0"/>
          <w:numId w:val="28"/>
        </w:numPr>
        <w:ind w:left="993" w:hanging="426"/>
        <w:rPr>
          <w:sz w:val="24"/>
          <w:szCs w:val="24"/>
          <w:lang w:val="en-GB"/>
        </w:rPr>
      </w:pPr>
      <w:r>
        <w:rPr>
          <w:sz w:val="24"/>
          <w:szCs w:val="24"/>
          <w:lang w:val="en-GB"/>
        </w:rPr>
        <w:t>Non-renewable material use;</w:t>
      </w:r>
    </w:p>
    <w:p w:rsidR="00800C65" w:rsidRPr="000D0745" w:rsidRDefault="00800C65" w:rsidP="00C4534A">
      <w:pPr>
        <w:numPr>
          <w:ilvl w:val="0"/>
          <w:numId w:val="28"/>
        </w:numPr>
        <w:ind w:left="993" w:hanging="426"/>
        <w:rPr>
          <w:sz w:val="24"/>
          <w:szCs w:val="24"/>
          <w:lang w:val="en-GB"/>
        </w:rPr>
      </w:pPr>
      <w:r w:rsidRPr="000D0745">
        <w:rPr>
          <w:sz w:val="24"/>
          <w:szCs w:val="24"/>
          <w:lang w:val="en-GB"/>
        </w:rPr>
        <w:t>Manufacture and production me</w:t>
      </w:r>
      <w:r w:rsidR="00BE45F6">
        <w:rPr>
          <w:sz w:val="24"/>
          <w:szCs w:val="24"/>
          <w:lang w:val="en-GB"/>
        </w:rPr>
        <w:t>thods;</w:t>
      </w:r>
    </w:p>
    <w:p w:rsidR="00800C65" w:rsidRPr="000D0745" w:rsidRDefault="00BE45F6" w:rsidP="00C4534A">
      <w:pPr>
        <w:numPr>
          <w:ilvl w:val="0"/>
          <w:numId w:val="28"/>
        </w:numPr>
        <w:ind w:left="993" w:hanging="426"/>
        <w:rPr>
          <w:sz w:val="24"/>
          <w:szCs w:val="24"/>
          <w:lang w:val="en-GB"/>
        </w:rPr>
      </w:pPr>
      <w:r>
        <w:rPr>
          <w:sz w:val="24"/>
          <w:szCs w:val="24"/>
          <w:lang w:val="en-GB"/>
        </w:rPr>
        <w:t>Logistics;</w:t>
      </w:r>
    </w:p>
    <w:p w:rsidR="00800C65" w:rsidRPr="000D0745" w:rsidRDefault="00BE45F6" w:rsidP="00C4534A">
      <w:pPr>
        <w:numPr>
          <w:ilvl w:val="0"/>
          <w:numId w:val="28"/>
        </w:numPr>
        <w:ind w:left="993" w:hanging="426"/>
        <w:rPr>
          <w:sz w:val="24"/>
          <w:szCs w:val="24"/>
          <w:lang w:val="en-GB"/>
        </w:rPr>
      </w:pPr>
      <w:r>
        <w:rPr>
          <w:sz w:val="24"/>
          <w:szCs w:val="24"/>
          <w:lang w:val="en-GB"/>
        </w:rPr>
        <w:t>Service delivery;</w:t>
      </w:r>
    </w:p>
    <w:p w:rsidR="00800C65" w:rsidRPr="000D0745" w:rsidRDefault="00800C65" w:rsidP="00C4534A">
      <w:pPr>
        <w:numPr>
          <w:ilvl w:val="0"/>
          <w:numId w:val="28"/>
        </w:numPr>
        <w:ind w:left="993" w:hanging="426"/>
        <w:rPr>
          <w:sz w:val="24"/>
          <w:szCs w:val="24"/>
          <w:lang w:val="en-GB"/>
        </w:rPr>
      </w:pPr>
      <w:r w:rsidRPr="000D0745">
        <w:rPr>
          <w:sz w:val="24"/>
          <w:szCs w:val="24"/>
          <w:lang w:val="en-GB"/>
        </w:rPr>
        <w:t>Use / operation / maintenance / reuse /</w:t>
      </w:r>
      <w:r w:rsidR="00BE45F6">
        <w:rPr>
          <w:sz w:val="24"/>
          <w:szCs w:val="24"/>
          <w:lang w:val="en-GB"/>
        </w:rPr>
        <w:t xml:space="preserve"> recycling and disposal options; and</w:t>
      </w:r>
    </w:p>
    <w:p w:rsidR="00800C65" w:rsidRPr="000D0745" w:rsidRDefault="00BE45F6" w:rsidP="00C4534A">
      <w:pPr>
        <w:numPr>
          <w:ilvl w:val="0"/>
          <w:numId w:val="28"/>
        </w:numPr>
        <w:ind w:left="993" w:hanging="426"/>
        <w:rPr>
          <w:sz w:val="24"/>
          <w:szCs w:val="24"/>
          <w:lang w:val="en-GB"/>
        </w:rPr>
      </w:pPr>
      <w:r>
        <w:rPr>
          <w:sz w:val="24"/>
          <w:szCs w:val="24"/>
          <w:lang w:val="en-GB"/>
        </w:rPr>
        <w:t>Carbon Reduction.</w:t>
      </w:r>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Each supplier’s capability to address these consequences should be considered throughout the supply chain and effective procurement processes can support and encourage environmental and socially responsible procurement activity.</w:t>
      </w:r>
    </w:p>
    <w:p w:rsidR="00800C65" w:rsidRPr="000D0745" w:rsidRDefault="00800C65" w:rsidP="00C4534A">
      <w:pPr>
        <w:rPr>
          <w:sz w:val="24"/>
          <w:szCs w:val="24"/>
          <w:lang w:val="en-GB"/>
        </w:rPr>
      </w:pPr>
    </w:p>
    <w:p w:rsidR="00800C65" w:rsidRPr="000D0745" w:rsidRDefault="00E53B76" w:rsidP="0030281C">
      <w:pPr>
        <w:pStyle w:val="Heading1"/>
        <w:numPr>
          <w:ilvl w:val="0"/>
          <w:numId w:val="0"/>
        </w:numPr>
        <w:ind w:left="567" w:hanging="567"/>
        <w:rPr>
          <w:rFonts w:eastAsia="Arial"/>
          <w:sz w:val="24"/>
          <w:szCs w:val="24"/>
        </w:rPr>
      </w:pPr>
      <w:bookmarkStart w:id="91" w:name="_Toc363823776"/>
      <w:bookmarkStart w:id="92" w:name="_Toc454456021"/>
      <w:r>
        <w:rPr>
          <w:rFonts w:eastAsia="Arial"/>
          <w:sz w:val="24"/>
          <w:szCs w:val="24"/>
        </w:rPr>
        <w:t>2.26</w:t>
      </w:r>
      <w:r>
        <w:rPr>
          <w:rFonts w:eastAsia="Arial"/>
          <w:sz w:val="24"/>
          <w:szCs w:val="24"/>
        </w:rPr>
        <w:tab/>
      </w:r>
      <w:r w:rsidR="00800C65" w:rsidRPr="000D0745">
        <w:rPr>
          <w:rFonts w:eastAsia="Arial"/>
          <w:sz w:val="24"/>
          <w:szCs w:val="24"/>
        </w:rPr>
        <w:t>Third Sector/SME Support</w:t>
      </w:r>
      <w:bookmarkEnd w:id="91"/>
      <w:bookmarkEnd w:id="92"/>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 </w:t>
      </w:r>
      <w:proofErr w:type="spellStart"/>
      <w:r w:rsidR="001A57CE">
        <w:rPr>
          <w:sz w:val="24"/>
          <w:szCs w:val="24"/>
          <w:lang w:val="en-GB"/>
        </w:rPr>
        <w:t>SYPS</w:t>
      </w:r>
      <w:r w:rsidRPr="000D0745">
        <w:rPr>
          <w:sz w:val="24"/>
          <w:szCs w:val="24"/>
          <w:lang w:val="en-GB"/>
        </w:rPr>
        <w:t>will</w:t>
      </w:r>
      <w:proofErr w:type="spellEnd"/>
      <w:r w:rsidRPr="000D0745">
        <w:rPr>
          <w:sz w:val="24"/>
          <w:szCs w:val="24"/>
          <w:lang w:val="en-GB"/>
        </w:rPr>
        <w:t xml:space="preserve"> support and encourage Small &amp; Medium sized Enterprise (SME) suppliers, Third Sector/Voluntary organisations and local enterprises in bidding for contracts. </w:t>
      </w:r>
      <w:r w:rsidR="001A57CE">
        <w:rPr>
          <w:sz w:val="24"/>
          <w:szCs w:val="24"/>
          <w:lang w:val="en-GB"/>
        </w:rPr>
        <w:t>S</w:t>
      </w:r>
      <w:r w:rsidR="00614CB9" w:rsidRPr="000D0745">
        <w:rPr>
          <w:sz w:val="24"/>
          <w:szCs w:val="24"/>
          <w:lang w:val="en-GB"/>
        </w:rPr>
        <w:t>CCG</w:t>
      </w:r>
      <w:r w:rsidR="00DF2EB3" w:rsidRPr="000D0745">
        <w:rPr>
          <w:sz w:val="24"/>
          <w:szCs w:val="24"/>
          <w:lang w:val="en-GB"/>
        </w:rPr>
        <w:t xml:space="preserve"> will</w:t>
      </w:r>
      <w:r w:rsidRPr="000D0745">
        <w:rPr>
          <w:sz w:val="24"/>
          <w:szCs w:val="24"/>
          <w:lang w:val="en-GB"/>
        </w:rPr>
        <w:t xml:space="preserve"> ensure that Healthcare (clinical) Service tender processes promote equality and do not discriminate on the grounds of age, race, gender, culture, religion, sexual orientation or disab</w:t>
      </w:r>
      <w:r w:rsidR="00A7257A">
        <w:rPr>
          <w:sz w:val="24"/>
          <w:szCs w:val="24"/>
          <w:lang w:val="en-GB"/>
        </w:rPr>
        <w:t>ility.</w:t>
      </w:r>
    </w:p>
    <w:p w:rsidR="00800C65" w:rsidRPr="000D0745" w:rsidRDefault="00800C65" w:rsidP="00C4534A">
      <w:pPr>
        <w:ind w:left="567"/>
        <w:rPr>
          <w:sz w:val="24"/>
          <w:szCs w:val="24"/>
          <w:lang w:val="en-GB"/>
        </w:rPr>
      </w:pPr>
    </w:p>
    <w:p w:rsidR="00800C65" w:rsidRPr="000D0745" w:rsidRDefault="001A57CE" w:rsidP="00C4534A">
      <w:pPr>
        <w:ind w:left="567"/>
        <w:rPr>
          <w:sz w:val="24"/>
          <w:szCs w:val="24"/>
          <w:lang w:val="en-GB"/>
        </w:rPr>
      </w:pPr>
      <w:r>
        <w:rPr>
          <w:sz w:val="24"/>
          <w:szCs w:val="24"/>
          <w:lang w:val="en-GB"/>
        </w:rPr>
        <w:t>S</w:t>
      </w:r>
      <w:r w:rsidR="004C4AEA">
        <w:rPr>
          <w:sz w:val="24"/>
          <w:szCs w:val="24"/>
          <w:lang w:val="en-GB"/>
        </w:rPr>
        <w:t>CCG</w:t>
      </w:r>
      <w:r w:rsidR="00800C65" w:rsidRPr="000D0745">
        <w:rPr>
          <w:sz w:val="24"/>
          <w:szCs w:val="24"/>
          <w:lang w:val="en-GB"/>
        </w:rPr>
        <w:t xml:space="preserve"> will aim to support Government </w:t>
      </w:r>
      <w:r w:rsidR="00A7257A">
        <w:rPr>
          <w:sz w:val="24"/>
          <w:szCs w:val="24"/>
          <w:lang w:val="en-GB"/>
        </w:rPr>
        <w:t>guidelines</w:t>
      </w:r>
      <w:r w:rsidR="00800C65" w:rsidRPr="000D0745">
        <w:rPr>
          <w:sz w:val="24"/>
          <w:szCs w:val="24"/>
          <w:lang w:val="en-GB"/>
        </w:rPr>
        <w:t xml:space="preserve"> seeking the optimal involvement of SME’s and the Third Sector in public service delivery without acting in contravention of public sector procurement legislation and guidance.</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 NHS is keen to encourage innovative approaches that could be offered by new providers – including independent sector, voluntary and third sector providers. </w:t>
      </w:r>
      <w:r w:rsidR="001A57CE">
        <w:rPr>
          <w:sz w:val="24"/>
          <w:szCs w:val="24"/>
          <w:lang w:val="en-GB"/>
        </w:rPr>
        <w:t>S</w:t>
      </w:r>
      <w:r w:rsidR="00614CB9" w:rsidRPr="000D0745">
        <w:rPr>
          <w:sz w:val="24"/>
          <w:szCs w:val="24"/>
          <w:lang w:val="en-GB"/>
        </w:rPr>
        <w:t>CCG</w:t>
      </w:r>
      <w:r w:rsidRPr="000D0745">
        <w:rPr>
          <w:sz w:val="24"/>
          <w:szCs w:val="24"/>
          <w:lang w:val="en-GB"/>
        </w:rPr>
        <w:t xml:space="preserve"> is committed to the development of local providers that understand the needs of local communities. It is vital to ensure that the Organisation’s approach to healthcare procurement is open and transparent and that it does not act as a barrier to new providers.</w:t>
      </w:r>
    </w:p>
    <w:p w:rsidR="00800C65" w:rsidRPr="000D0745" w:rsidRDefault="00800C65" w:rsidP="00C4534A">
      <w:pPr>
        <w:rPr>
          <w:sz w:val="24"/>
          <w:szCs w:val="24"/>
          <w:lang w:val="en-GB"/>
        </w:rPr>
      </w:pPr>
    </w:p>
    <w:p w:rsidR="00AF3611" w:rsidRPr="007B7BAC" w:rsidRDefault="00BE45F6" w:rsidP="00C4534A">
      <w:pPr>
        <w:rPr>
          <w:b/>
          <w:sz w:val="28"/>
          <w:szCs w:val="28"/>
          <w:u w:val="single"/>
          <w:lang w:val="en-GB"/>
        </w:rPr>
      </w:pPr>
      <w:r>
        <w:rPr>
          <w:b/>
          <w:sz w:val="28"/>
          <w:szCs w:val="28"/>
          <w:u w:val="single"/>
          <w:lang w:val="en-GB"/>
        </w:rPr>
        <w:br w:type="page"/>
      </w:r>
      <w:r w:rsidR="00AF3611" w:rsidRPr="007B7BAC">
        <w:rPr>
          <w:b/>
          <w:sz w:val="28"/>
          <w:szCs w:val="28"/>
          <w:u w:val="single"/>
          <w:lang w:val="en-GB"/>
        </w:rPr>
        <w:lastRenderedPageBreak/>
        <w:t>Section 3 – Sheffield CCG</w:t>
      </w:r>
      <w:r w:rsidR="007B7BAC" w:rsidRPr="007B7BAC">
        <w:rPr>
          <w:b/>
          <w:sz w:val="28"/>
          <w:szCs w:val="28"/>
          <w:u w:val="single"/>
          <w:lang w:val="en-GB"/>
        </w:rPr>
        <w:t xml:space="preserve">’s </w:t>
      </w:r>
      <w:proofErr w:type="gramStart"/>
      <w:r w:rsidR="007B7BAC" w:rsidRPr="007B7BAC">
        <w:rPr>
          <w:b/>
          <w:sz w:val="28"/>
          <w:szCs w:val="28"/>
          <w:u w:val="single"/>
          <w:lang w:val="en-GB"/>
        </w:rPr>
        <w:t xml:space="preserve">Annual </w:t>
      </w:r>
      <w:r w:rsidR="00AF3611" w:rsidRPr="007B7BAC">
        <w:rPr>
          <w:b/>
          <w:sz w:val="28"/>
          <w:szCs w:val="28"/>
          <w:u w:val="single"/>
          <w:lang w:val="en-GB"/>
        </w:rPr>
        <w:t xml:space="preserve"> Procurement</w:t>
      </w:r>
      <w:proofErr w:type="gramEnd"/>
      <w:r w:rsidR="00AF3611" w:rsidRPr="007B7BAC">
        <w:rPr>
          <w:b/>
          <w:sz w:val="28"/>
          <w:szCs w:val="28"/>
          <w:u w:val="single"/>
          <w:lang w:val="en-GB"/>
        </w:rPr>
        <w:t xml:space="preserve"> Plan </w:t>
      </w:r>
    </w:p>
    <w:p w:rsidR="00AF3611" w:rsidRPr="000D0745" w:rsidRDefault="00AF3611" w:rsidP="00C4534A">
      <w:pPr>
        <w:rPr>
          <w:sz w:val="24"/>
          <w:szCs w:val="24"/>
          <w:lang w:val="en-GB"/>
        </w:rPr>
      </w:pPr>
    </w:p>
    <w:p w:rsidR="00847DE8" w:rsidRPr="000D0745" w:rsidRDefault="00847DE8" w:rsidP="00C4534A">
      <w:pPr>
        <w:pStyle w:val="Heading1"/>
        <w:numPr>
          <w:ilvl w:val="1"/>
          <w:numId w:val="21"/>
        </w:numPr>
        <w:ind w:left="567" w:hanging="567"/>
        <w:rPr>
          <w:rFonts w:eastAsia="Arial"/>
          <w:sz w:val="24"/>
          <w:szCs w:val="24"/>
        </w:rPr>
      </w:pPr>
      <w:bookmarkStart w:id="93" w:name="_Toc363823777"/>
      <w:bookmarkStart w:id="94" w:name="_Toc454456022"/>
      <w:r w:rsidRPr="000D0745">
        <w:rPr>
          <w:rFonts w:eastAsia="Arial"/>
          <w:sz w:val="24"/>
          <w:szCs w:val="24"/>
        </w:rPr>
        <w:t>Procurement Work</w:t>
      </w:r>
      <w:r w:rsidR="00E53B76">
        <w:rPr>
          <w:rFonts w:eastAsia="Arial"/>
          <w:sz w:val="24"/>
          <w:szCs w:val="24"/>
        </w:rPr>
        <w:t xml:space="preserve"> P</w:t>
      </w:r>
      <w:r w:rsidRPr="000D0745">
        <w:rPr>
          <w:rFonts w:eastAsia="Arial"/>
          <w:sz w:val="24"/>
          <w:szCs w:val="24"/>
        </w:rPr>
        <w:t>lan</w:t>
      </w:r>
      <w:bookmarkEnd w:id="93"/>
      <w:bookmarkEnd w:id="94"/>
    </w:p>
    <w:p w:rsidR="00847DE8" w:rsidRPr="000D0745" w:rsidRDefault="00847DE8" w:rsidP="00C4534A">
      <w:pPr>
        <w:rPr>
          <w:rFonts w:eastAsia="Arial"/>
          <w:sz w:val="24"/>
          <w:szCs w:val="24"/>
          <w:lang w:val="en-GB"/>
        </w:rPr>
      </w:pPr>
    </w:p>
    <w:p w:rsidR="00847DE8" w:rsidRDefault="00847DE8" w:rsidP="00C4534A">
      <w:pPr>
        <w:ind w:left="567"/>
        <w:rPr>
          <w:rFonts w:eastAsia="Arial"/>
          <w:sz w:val="24"/>
          <w:szCs w:val="24"/>
          <w:lang w:val="en-GB"/>
        </w:rPr>
      </w:pPr>
      <w:r w:rsidRPr="000D0745">
        <w:rPr>
          <w:rFonts w:eastAsia="Arial"/>
          <w:sz w:val="24"/>
          <w:szCs w:val="24"/>
          <w:lang w:val="en-GB"/>
        </w:rPr>
        <w:t xml:space="preserve">A procurement work plan will be prepared and published </w:t>
      </w:r>
      <w:r w:rsidR="0091556E">
        <w:rPr>
          <w:rFonts w:eastAsia="Arial"/>
          <w:sz w:val="24"/>
          <w:szCs w:val="24"/>
          <w:lang w:val="en-GB"/>
        </w:rPr>
        <w:t xml:space="preserve">at the beginning </w:t>
      </w:r>
      <w:r w:rsidRPr="000D0745">
        <w:rPr>
          <w:rFonts w:eastAsia="Arial"/>
          <w:sz w:val="24"/>
          <w:szCs w:val="24"/>
          <w:lang w:val="en-GB"/>
        </w:rPr>
        <w:t xml:space="preserve">of each financial year to support the priorities and requirements set out in the CCG’s annual commissioning and business plans. </w:t>
      </w:r>
      <w:r w:rsidR="00DF2EB3" w:rsidRPr="000D0745">
        <w:rPr>
          <w:rFonts w:eastAsia="Arial"/>
          <w:sz w:val="24"/>
          <w:szCs w:val="24"/>
          <w:lang w:val="en-GB"/>
        </w:rPr>
        <w:t xml:space="preserve"> </w:t>
      </w:r>
    </w:p>
    <w:p w:rsidR="0091556E" w:rsidRPr="000D0745" w:rsidRDefault="0091556E" w:rsidP="00C4534A">
      <w:pPr>
        <w:ind w:left="567"/>
        <w:rPr>
          <w:rFonts w:eastAsia="Arial"/>
          <w:sz w:val="24"/>
          <w:szCs w:val="24"/>
          <w:lang w:val="en-GB"/>
        </w:rPr>
      </w:pPr>
    </w:p>
    <w:p w:rsidR="00847DE8" w:rsidRPr="000D0745" w:rsidRDefault="00847DE8" w:rsidP="00C4534A">
      <w:pPr>
        <w:ind w:left="567"/>
        <w:rPr>
          <w:rFonts w:cs="Arial"/>
          <w:sz w:val="24"/>
          <w:szCs w:val="24"/>
        </w:rPr>
      </w:pPr>
      <w:r w:rsidRPr="000D0745">
        <w:rPr>
          <w:rFonts w:cs="Arial"/>
          <w:sz w:val="24"/>
          <w:szCs w:val="24"/>
        </w:rPr>
        <w:t>The function of the procurement work</w:t>
      </w:r>
      <w:r w:rsidR="00E53B76">
        <w:rPr>
          <w:rFonts w:cs="Arial"/>
          <w:sz w:val="24"/>
          <w:szCs w:val="24"/>
        </w:rPr>
        <w:t xml:space="preserve"> </w:t>
      </w:r>
      <w:r w:rsidRPr="000D0745">
        <w:rPr>
          <w:rFonts w:cs="Arial"/>
          <w:sz w:val="24"/>
          <w:szCs w:val="24"/>
        </w:rPr>
        <w:t xml:space="preserve">plan is to </w:t>
      </w:r>
      <w:r w:rsidR="00DF2EB3" w:rsidRPr="000D0745">
        <w:rPr>
          <w:rFonts w:cs="Arial"/>
          <w:sz w:val="24"/>
          <w:szCs w:val="24"/>
        </w:rPr>
        <w:t xml:space="preserve">highlight </w:t>
      </w:r>
      <w:r w:rsidR="004C4AEA">
        <w:rPr>
          <w:rFonts w:cs="Arial"/>
          <w:sz w:val="24"/>
          <w:szCs w:val="24"/>
        </w:rPr>
        <w:t>the</w:t>
      </w:r>
      <w:r w:rsidR="004C4AEA" w:rsidRPr="000D0745">
        <w:rPr>
          <w:rFonts w:cs="Arial"/>
          <w:sz w:val="24"/>
          <w:szCs w:val="24"/>
        </w:rPr>
        <w:t xml:space="preserve"> </w:t>
      </w:r>
      <w:r w:rsidR="00DF2EB3" w:rsidRPr="000D0745">
        <w:rPr>
          <w:rFonts w:cs="Arial"/>
          <w:sz w:val="24"/>
          <w:szCs w:val="24"/>
        </w:rPr>
        <w:t>proposed</w:t>
      </w:r>
      <w:r w:rsidRPr="000D0745">
        <w:rPr>
          <w:rFonts w:cs="Arial"/>
          <w:sz w:val="24"/>
          <w:szCs w:val="24"/>
        </w:rPr>
        <w:t xml:space="preserve"> procurement priorities and opportunities, clearly defining </w:t>
      </w:r>
      <w:r w:rsidR="001A57CE">
        <w:rPr>
          <w:rFonts w:cs="Arial"/>
          <w:sz w:val="24"/>
          <w:szCs w:val="24"/>
        </w:rPr>
        <w:t>S</w:t>
      </w:r>
      <w:r w:rsidRPr="000D0745">
        <w:rPr>
          <w:rFonts w:cs="Arial"/>
          <w:sz w:val="24"/>
          <w:szCs w:val="24"/>
        </w:rPr>
        <w:t>CCG’s direction of travel for potential and existing providers. By adopting a project management approach to the prioritisation and delivery of all procurement activities, resources can be allocated to ensure effective delivery.</w:t>
      </w:r>
    </w:p>
    <w:p w:rsidR="00847DE8" w:rsidRPr="000D0745" w:rsidRDefault="00847DE8" w:rsidP="00C4534A">
      <w:pPr>
        <w:ind w:left="567"/>
        <w:rPr>
          <w:rFonts w:eastAsia="Arial"/>
          <w:sz w:val="24"/>
          <w:szCs w:val="24"/>
          <w:lang w:val="en-GB"/>
        </w:rPr>
      </w:pPr>
    </w:p>
    <w:p w:rsidR="00847DE8" w:rsidRPr="000D0745" w:rsidRDefault="00847DE8" w:rsidP="00C4534A">
      <w:pPr>
        <w:ind w:left="567"/>
        <w:rPr>
          <w:rFonts w:cs="Arial"/>
          <w:sz w:val="24"/>
          <w:szCs w:val="24"/>
        </w:rPr>
      </w:pPr>
      <w:r w:rsidRPr="000D0745">
        <w:rPr>
          <w:rFonts w:cs="Arial"/>
          <w:sz w:val="24"/>
          <w:szCs w:val="24"/>
        </w:rPr>
        <w:t>The work</w:t>
      </w:r>
      <w:r w:rsidR="00E53B76">
        <w:rPr>
          <w:rFonts w:cs="Arial"/>
          <w:sz w:val="24"/>
          <w:szCs w:val="24"/>
        </w:rPr>
        <w:t xml:space="preserve"> </w:t>
      </w:r>
      <w:r w:rsidRPr="000D0745">
        <w:rPr>
          <w:rFonts w:cs="Arial"/>
          <w:sz w:val="24"/>
          <w:szCs w:val="24"/>
        </w:rPr>
        <w:t xml:space="preserve">plan is a key tool to improve communication between </w:t>
      </w:r>
      <w:r w:rsidR="001A57CE">
        <w:rPr>
          <w:rFonts w:cs="Arial"/>
          <w:sz w:val="24"/>
          <w:szCs w:val="24"/>
        </w:rPr>
        <w:t>S</w:t>
      </w:r>
      <w:r w:rsidRPr="000D0745">
        <w:rPr>
          <w:rFonts w:cs="Arial"/>
          <w:sz w:val="24"/>
          <w:szCs w:val="24"/>
        </w:rPr>
        <w:t>CCG and providers. By having transparent and open processes, we will seek to actively encourage provider engagement at an early stage of any procurement, particularly when reviewing existing services with existing providers.</w:t>
      </w:r>
    </w:p>
    <w:p w:rsidR="00847DE8" w:rsidRPr="000D0745" w:rsidRDefault="00847DE8" w:rsidP="00C4534A">
      <w:pPr>
        <w:ind w:left="567"/>
        <w:rPr>
          <w:rFonts w:cs="Arial"/>
          <w:sz w:val="24"/>
          <w:szCs w:val="24"/>
        </w:rPr>
      </w:pPr>
    </w:p>
    <w:p w:rsidR="00847DE8" w:rsidRPr="000D0745" w:rsidRDefault="00847DE8" w:rsidP="00C4534A">
      <w:pPr>
        <w:ind w:left="567"/>
        <w:rPr>
          <w:rFonts w:cs="Arial"/>
          <w:sz w:val="24"/>
          <w:szCs w:val="24"/>
        </w:rPr>
      </w:pPr>
      <w:r w:rsidRPr="000D0745">
        <w:rPr>
          <w:rFonts w:cs="Arial"/>
          <w:sz w:val="24"/>
          <w:szCs w:val="24"/>
        </w:rPr>
        <w:t>The procurement work</w:t>
      </w:r>
      <w:r w:rsidR="00E53B76">
        <w:rPr>
          <w:rFonts w:cs="Arial"/>
          <w:sz w:val="24"/>
          <w:szCs w:val="24"/>
        </w:rPr>
        <w:t xml:space="preserve"> </w:t>
      </w:r>
      <w:r w:rsidRPr="000D0745">
        <w:rPr>
          <w:rFonts w:cs="Arial"/>
          <w:sz w:val="24"/>
          <w:szCs w:val="24"/>
        </w:rPr>
        <w:t xml:space="preserve">plan is a public document and ensures that </w:t>
      </w:r>
      <w:r w:rsidR="001A57CE">
        <w:rPr>
          <w:rFonts w:cs="Arial"/>
          <w:sz w:val="24"/>
          <w:szCs w:val="24"/>
        </w:rPr>
        <w:t>S</w:t>
      </w:r>
      <w:r w:rsidRPr="000D0745">
        <w:rPr>
          <w:rFonts w:cs="Arial"/>
          <w:sz w:val="24"/>
          <w:szCs w:val="24"/>
        </w:rPr>
        <w:t xml:space="preserve">CCG is transparent about its procurement decision making processes and rationale.  It will be published annually on </w:t>
      </w:r>
      <w:r w:rsidR="001A57CE">
        <w:rPr>
          <w:rFonts w:cs="Arial"/>
          <w:sz w:val="24"/>
          <w:szCs w:val="24"/>
        </w:rPr>
        <w:t>S</w:t>
      </w:r>
      <w:r w:rsidRPr="000D0745">
        <w:rPr>
          <w:rFonts w:cs="Arial"/>
          <w:sz w:val="24"/>
          <w:szCs w:val="24"/>
        </w:rPr>
        <w:t>CCG internet site, and updated quarterly. This will allow us to communicate short, medium and long term goals to the widest possible audience, and demonstrates a range of potential opportunities within the Sheffield health economy, rather than a series of ‘one-off’ procurements. This will encourage greater provider interest.</w:t>
      </w:r>
    </w:p>
    <w:p w:rsidR="00847DE8" w:rsidRPr="000D0745" w:rsidRDefault="00847DE8" w:rsidP="00C4534A">
      <w:pPr>
        <w:ind w:left="567"/>
        <w:rPr>
          <w:rFonts w:eastAsia="Arial"/>
          <w:sz w:val="24"/>
          <w:szCs w:val="24"/>
          <w:lang w:val="en-GB"/>
        </w:rPr>
      </w:pPr>
    </w:p>
    <w:p w:rsidR="00847DE8" w:rsidRPr="000D0745" w:rsidRDefault="00847DE8" w:rsidP="00C4534A">
      <w:pPr>
        <w:ind w:left="567"/>
        <w:rPr>
          <w:rFonts w:eastAsia="Arial"/>
          <w:sz w:val="24"/>
          <w:szCs w:val="24"/>
          <w:lang w:val="en-GB"/>
        </w:rPr>
      </w:pPr>
      <w:r w:rsidRPr="000D0745">
        <w:rPr>
          <w:rFonts w:eastAsia="Arial"/>
          <w:sz w:val="24"/>
          <w:szCs w:val="24"/>
          <w:lang w:val="en-GB"/>
        </w:rPr>
        <w:t xml:space="preserve">Not all commissioning priorities will have or will result in formal procurement activity. When considering appropriate actions to effect required changes and improvements, competition is only one lever available to </w:t>
      </w:r>
      <w:r w:rsidR="001A57CE">
        <w:rPr>
          <w:rFonts w:eastAsia="Arial"/>
          <w:sz w:val="24"/>
          <w:szCs w:val="24"/>
          <w:lang w:val="en-GB"/>
        </w:rPr>
        <w:t>S</w:t>
      </w:r>
      <w:r w:rsidRPr="000D0745">
        <w:rPr>
          <w:rFonts w:eastAsia="Arial"/>
          <w:sz w:val="24"/>
          <w:szCs w:val="24"/>
          <w:lang w:val="en-GB"/>
        </w:rPr>
        <w:t>CCG, and a range of other levers will also be considered (e.g. delivery of service redesign through partnership working).</w:t>
      </w:r>
    </w:p>
    <w:p w:rsidR="00847DE8" w:rsidRPr="000D0745" w:rsidRDefault="00847DE8" w:rsidP="00C4534A">
      <w:pPr>
        <w:rPr>
          <w:rFonts w:eastAsia="Arial"/>
          <w:sz w:val="24"/>
          <w:szCs w:val="24"/>
          <w:lang w:val="en-GB"/>
        </w:rPr>
      </w:pPr>
    </w:p>
    <w:p w:rsidR="001A7AC9" w:rsidRPr="000D0745" w:rsidRDefault="001A7AC9" w:rsidP="00C4534A">
      <w:pPr>
        <w:rPr>
          <w:rFonts w:eastAsia="Arial"/>
          <w:sz w:val="24"/>
          <w:szCs w:val="24"/>
          <w:lang w:val="en-GB"/>
        </w:rPr>
      </w:pPr>
    </w:p>
    <w:p w:rsidR="00463665" w:rsidRPr="000D0745" w:rsidRDefault="00463665" w:rsidP="00C4534A">
      <w:pPr>
        <w:rPr>
          <w:rFonts w:eastAsia="Arial"/>
          <w:sz w:val="24"/>
          <w:szCs w:val="24"/>
          <w:lang w:val="en-GB"/>
        </w:rPr>
      </w:pPr>
    </w:p>
    <w:p w:rsidR="00F96BD2" w:rsidRPr="00E850BD" w:rsidRDefault="0091556E" w:rsidP="00C4534A">
      <w:pPr>
        <w:rPr>
          <w:rFonts w:eastAsia="Arial"/>
          <w:b/>
          <w:sz w:val="24"/>
          <w:szCs w:val="24"/>
          <w:lang w:val="en-GB"/>
        </w:rPr>
      </w:pPr>
      <w:r w:rsidRPr="00E850BD">
        <w:rPr>
          <w:rFonts w:eastAsia="Arial"/>
          <w:b/>
          <w:sz w:val="24"/>
          <w:szCs w:val="24"/>
          <w:lang w:val="en-GB"/>
        </w:rPr>
        <w:t xml:space="preserve"> </w:t>
      </w:r>
    </w:p>
    <w:sectPr w:rsidR="00F96BD2" w:rsidRPr="00E850BD" w:rsidSect="00E2170D">
      <w:headerReference w:type="default" r:id="rId16"/>
      <w:footerReference w:type="default" r:id="rId17"/>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68" w:rsidRDefault="00EF2A68">
      <w:r>
        <w:separator/>
      </w:r>
    </w:p>
  </w:endnote>
  <w:endnote w:type="continuationSeparator" w:id="0">
    <w:p w:rsidR="00EF2A68" w:rsidRDefault="00EF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68" w:rsidRPr="00E2170D" w:rsidRDefault="00EF2A68">
    <w:pPr>
      <w:pStyle w:val="Footer"/>
      <w:jc w:val="right"/>
      <w:rPr>
        <w:sz w:val="18"/>
        <w:szCs w:val="18"/>
      </w:rPr>
    </w:pPr>
    <w:r w:rsidRPr="00E2170D">
      <w:rPr>
        <w:sz w:val="18"/>
        <w:szCs w:val="18"/>
      </w:rPr>
      <w:fldChar w:fldCharType="begin"/>
    </w:r>
    <w:r w:rsidRPr="00E2170D">
      <w:rPr>
        <w:sz w:val="18"/>
        <w:szCs w:val="18"/>
      </w:rPr>
      <w:instrText xml:space="preserve"> PAGE   \* MERGEFORMAT </w:instrText>
    </w:r>
    <w:r w:rsidRPr="00E2170D">
      <w:rPr>
        <w:sz w:val="18"/>
        <w:szCs w:val="18"/>
      </w:rPr>
      <w:fldChar w:fldCharType="separate"/>
    </w:r>
    <w:r w:rsidR="00FE2EDA">
      <w:rPr>
        <w:noProof/>
        <w:sz w:val="18"/>
        <w:szCs w:val="18"/>
      </w:rPr>
      <w:t>28</w:t>
    </w:r>
    <w:r w:rsidRPr="00E2170D">
      <w:rPr>
        <w:noProof/>
        <w:sz w:val="18"/>
        <w:szCs w:val="18"/>
      </w:rPr>
      <w:fldChar w:fldCharType="end"/>
    </w:r>
  </w:p>
  <w:p w:rsidR="00EF2A68" w:rsidRDefault="00EF2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68" w:rsidRDefault="00EF2A68">
      <w:r>
        <w:separator/>
      </w:r>
    </w:p>
  </w:footnote>
  <w:footnote w:type="continuationSeparator" w:id="0">
    <w:p w:rsidR="00EF2A68" w:rsidRDefault="00EF2A68">
      <w:r>
        <w:continuationSeparator/>
      </w:r>
    </w:p>
  </w:footnote>
  <w:footnote w:id="1">
    <w:p w:rsidR="00EF2A68" w:rsidRPr="009974B8" w:rsidRDefault="00EF2A68" w:rsidP="00911491">
      <w:pPr>
        <w:pStyle w:val="FootnoteText"/>
        <w:rPr>
          <w:lang w:val="en-GB"/>
        </w:rPr>
      </w:pPr>
      <w:r w:rsidRPr="00F55A4C">
        <w:rPr>
          <w:rStyle w:val="FootnoteReference"/>
          <w:sz w:val="16"/>
          <w:szCs w:val="16"/>
        </w:rPr>
        <w:footnoteRef/>
      </w:r>
      <w:r w:rsidRPr="00F55A4C">
        <w:rPr>
          <w:sz w:val="16"/>
          <w:szCs w:val="16"/>
        </w:rPr>
        <w:t xml:space="preserve"> </w:t>
      </w:r>
      <w:hyperlink r:id="rId1" w:history="1">
        <w:r w:rsidRPr="004B245D">
          <w:rPr>
            <w:rStyle w:val="Hyperlink"/>
            <w:sz w:val="16"/>
            <w:szCs w:val="16"/>
          </w:rPr>
          <w:t>http://www.legislation.gov.uk/uksi/2013/500/pdfs/uksi_20130500_en.pdf</w:t>
        </w:r>
      </w:hyperlink>
      <w:r>
        <w:rPr>
          <w:sz w:val="16"/>
          <w:szCs w:val="16"/>
        </w:rPr>
        <w:t xml:space="preserve"> </w:t>
      </w:r>
    </w:p>
  </w:footnote>
  <w:footnote w:id="2">
    <w:p w:rsidR="00EF2A68" w:rsidRPr="009974B8" w:rsidRDefault="00EF2A68" w:rsidP="00911491">
      <w:pPr>
        <w:pStyle w:val="FootnoteText"/>
        <w:rPr>
          <w:lang w:val="en-GB"/>
        </w:rPr>
      </w:pPr>
      <w:r w:rsidRPr="00F55A4C">
        <w:rPr>
          <w:rStyle w:val="FootnoteReference"/>
          <w:sz w:val="16"/>
          <w:szCs w:val="16"/>
        </w:rPr>
        <w:footnoteRef/>
      </w:r>
      <w:r w:rsidRPr="00F55A4C">
        <w:rPr>
          <w:sz w:val="16"/>
          <w:szCs w:val="16"/>
        </w:rPr>
        <w:t xml:space="preserve"> </w:t>
      </w:r>
      <w:hyperlink r:id="rId2" w:history="1">
        <w:r w:rsidRPr="004B245D">
          <w:rPr>
            <w:rStyle w:val="Hyperlink"/>
            <w:sz w:val="16"/>
            <w:szCs w:val="16"/>
          </w:rPr>
          <w:t>https://www.gov.uk/government/uploads/system/uploads/attachment_data/file/216280/dh_118219.pdf</w:t>
        </w:r>
      </w:hyperlink>
      <w:r>
        <w:rPr>
          <w:sz w:val="16"/>
          <w:szCs w:val="16"/>
        </w:rPr>
        <w:t xml:space="preserve"> </w:t>
      </w:r>
    </w:p>
  </w:footnote>
  <w:footnote w:id="3">
    <w:p w:rsidR="00EF2A68" w:rsidRPr="00F55A4C" w:rsidRDefault="00EF2A68">
      <w:pPr>
        <w:pStyle w:val="FootnoteText"/>
        <w:rPr>
          <w:sz w:val="16"/>
          <w:szCs w:val="16"/>
          <w:lang w:val="en-GB"/>
        </w:rPr>
      </w:pPr>
      <w:r w:rsidRPr="00F55A4C">
        <w:rPr>
          <w:rStyle w:val="FootnoteReference"/>
          <w:sz w:val="16"/>
          <w:szCs w:val="16"/>
        </w:rPr>
        <w:footnoteRef/>
      </w:r>
      <w:r w:rsidRPr="00F55A4C">
        <w:rPr>
          <w:sz w:val="16"/>
          <w:szCs w:val="16"/>
        </w:rPr>
        <w:t xml:space="preserve"> </w:t>
      </w:r>
      <w:hyperlink r:id="rId3" w:history="1">
        <w:r w:rsidRPr="004B245D">
          <w:rPr>
            <w:rStyle w:val="Hyperlink"/>
            <w:sz w:val="16"/>
            <w:szCs w:val="16"/>
          </w:rPr>
          <w:t>https://www.gov.uk/government/uploads/system/uploads/attachment_data/file/283505/SubstantiveGuidanceDec2013_0.pdf</w:t>
        </w:r>
      </w:hyperlink>
      <w:r>
        <w:rPr>
          <w:sz w:val="16"/>
          <w:szCs w:val="16"/>
        </w:rPr>
        <w:t xml:space="preserve"> </w:t>
      </w:r>
    </w:p>
  </w:footnote>
  <w:footnote w:id="4">
    <w:p w:rsidR="00EF2A68" w:rsidRPr="009974B8" w:rsidRDefault="00EF2A68" w:rsidP="00B315F5">
      <w:pPr>
        <w:pStyle w:val="FootnoteText"/>
        <w:rPr>
          <w:lang w:val="en-GB"/>
        </w:rPr>
      </w:pPr>
      <w:r w:rsidRPr="00F55A4C">
        <w:rPr>
          <w:rStyle w:val="FootnoteReference"/>
          <w:sz w:val="16"/>
          <w:szCs w:val="16"/>
        </w:rPr>
        <w:footnoteRef/>
      </w:r>
      <w:r>
        <w:t xml:space="preserve"> </w:t>
      </w:r>
      <w:hyperlink r:id="rId4" w:history="1">
        <w:r>
          <w:rPr>
            <w:rStyle w:val="Hyperlink"/>
            <w:sz w:val="16"/>
            <w:szCs w:val="16"/>
          </w:rPr>
          <w:t>http://www.sheffieldccg.nhs.uk/about-us/our-constitution.htm</w:t>
        </w:r>
      </w:hyperlink>
      <w:r>
        <w:rPr>
          <w:sz w:val="16"/>
          <w:szCs w:val="16"/>
        </w:rPr>
        <w:t xml:space="preserve"> </w:t>
      </w:r>
    </w:p>
  </w:footnote>
  <w:footnote w:id="5">
    <w:p w:rsidR="00EF2A68" w:rsidRPr="001F0C8E" w:rsidRDefault="00EF2A68" w:rsidP="00B35893">
      <w:pPr>
        <w:pStyle w:val="FootnoteText"/>
        <w:rPr>
          <w:sz w:val="16"/>
          <w:szCs w:val="16"/>
          <w:lang w:val="en-GB"/>
        </w:rPr>
      </w:pPr>
      <w:r w:rsidRPr="001F0C8E">
        <w:rPr>
          <w:rStyle w:val="FootnoteReference"/>
          <w:sz w:val="16"/>
          <w:szCs w:val="16"/>
        </w:rPr>
        <w:footnoteRef/>
      </w:r>
      <w:r w:rsidRPr="001F0C8E">
        <w:rPr>
          <w:sz w:val="16"/>
          <w:szCs w:val="16"/>
        </w:rPr>
        <w:t xml:space="preserve"> </w:t>
      </w:r>
      <w:hyperlink r:id="rId5" w:history="1">
        <w:r w:rsidRPr="004B245D">
          <w:rPr>
            <w:rStyle w:val="Hyperlink"/>
            <w:sz w:val="16"/>
            <w:szCs w:val="16"/>
          </w:rPr>
          <w:t>http://www.nhs.uk/choiceintheNHS/Rightsandpledges/NHSConstitution/Pages/Overview.aspx</w:t>
        </w:r>
      </w:hyperlink>
      <w:r>
        <w:rPr>
          <w:sz w:val="16"/>
          <w:szCs w:val="16"/>
        </w:rPr>
        <w:t xml:space="preserve"> </w:t>
      </w:r>
    </w:p>
  </w:footnote>
  <w:footnote w:id="6">
    <w:p w:rsidR="00EF2A68" w:rsidRPr="009974B8" w:rsidRDefault="00EF2A68">
      <w:pPr>
        <w:pStyle w:val="FootnoteText"/>
        <w:rPr>
          <w:lang w:val="en-GB"/>
        </w:rPr>
      </w:pPr>
      <w:r>
        <w:rPr>
          <w:rStyle w:val="FootnoteReference"/>
        </w:rPr>
        <w:footnoteRef/>
      </w:r>
      <w:r>
        <w:t xml:space="preserve"> </w:t>
      </w:r>
      <w:hyperlink r:id="rId6" w:history="1">
        <w:r w:rsidRPr="004B245D">
          <w:rPr>
            <w:rStyle w:val="Hyperlink"/>
            <w:sz w:val="16"/>
            <w:szCs w:val="16"/>
          </w:rPr>
          <w:t>http://www.legislation.gov.uk/ukpga/2012/7/pdfs/ukpga_20120007_en.pdf</w:t>
        </w:r>
      </w:hyperlink>
      <w:r>
        <w:rPr>
          <w:sz w:val="16"/>
          <w:szCs w:val="16"/>
        </w:rPr>
        <w:t xml:space="preserve"> </w:t>
      </w:r>
    </w:p>
  </w:footnote>
  <w:footnote w:id="7">
    <w:p w:rsidR="00EF2A68" w:rsidRPr="00F55A4C" w:rsidRDefault="00EF2A68">
      <w:pPr>
        <w:pStyle w:val="FootnoteText"/>
        <w:rPr>
          <w:lang w:val="en-GB"/>
        </w:rPr>
      </w:pPr>
      <w:r w:rsidRPr="00F55A4C">
        <w:rPr>
          <w:rStyle w:val="FootnoteReference"/>
          <w:sz w:val="16"/>
          <w:szCs w:val="16"/>
        </w:rPr>
        <w:footnoteRef/>
      </w:r>
      <w:r w:rsidRPr="00F55A4C">
        <w:t xml:space="preserve"> </w:t>
      </w:r>
      <w:r w:rsidRPr="00702500">
        <w:rPr>
          <w:sz w:val="16"/>
          <w:szCs w:val="16"/>
        </w:rPr>
        <w:t xml:space="preserve">https://www.gov.uk/contracts-finder </w:t>
      </w:r>
    </w:p>
  </w:footnote>
  <w:footnote w:id="8">
    <w:p w:rsidR="00EF2A68" w:rsidRPr="00EE0949" w:rsidRDefault="00EF2A68">
      <w:pPr>
        <w:pStyle w:val="FootnoteText"/>
        <w:rPr>
          <w:lang w:val="en-GB"/>
        </w:rPr>
      </w:pPr>
      <w:r>
        <w:rPr>
          <w:rStyle w:val="FootnoteReference"/>
        </w:rPr>
        <w:footnoteRef/>
      </w:r>
      <w:r>
        <w:t xml:space="preserve"> </w:t>
      </w:r>
      <w:hyperlink r:id="rId7" w:history="1">
        <w:r w:rsidRPr="004B245D">
          <w:rPr>
            <w:rStyle w:val="Hyperlink"/>
            <w:sz w:val="16"/>
            <w:szCs w:val="16"/>
          </w:rPr>
          <w:t>http://www.legislation.gov.uk/ukpga/2012/3/enacted</w:t>
        </w:r>
      </w:hyperlink>
      <w:r>
        <w:rPr>
          <w:sz w:val="16"/>
          <w:szCs w:val="16"/>
        </w:rPr>
        <w:t xml:space="preserve"> </w:t>
      </w:r>
    </w:p>
  </w:footnote>
  <w:footnote w:id="9">
    <w:p w:rsidR="00EF2A68" w:rsidRPr="00EE0949" w:rsidRDefault="00EF2A68">
      <w:pPr>
        <w:pStyle w:val="FootnoteText"/>
        <w:rPr>
          <w:lang w:val="en-GB"/>
        </w:rPr>
      </w:pPr>
      <w:r>
        <w:rPr>
          <w:rStyle w:val="FootnoteReference"/>
        </w:rPr>
        <w:footnoteRef/>
      </w:r>
      <w:r>
        <w:t xml:space="preserve"> </w:t>
      </w:r>
      <w:hyperlink r:id="rId8" w:history="1">
        <w:r w:rsidRPr="004B245D">
          <w:rPr>
            <w:rStyle w:val="Hyperlink"/>
            <w:sz w:val="16"/>
            <w:szCs w:val="16"/>
          </w:rPr>
          <w:t>http://www.legislation.gov.uk/ukpga/2010/15/contents/enacted</w:t>
        </w:r>
      </w:hyperlink>
      <w:r>
        <w:rPr>
          <w:sz w:val="16"/>
          <w:szCs w:val="16"/>
        </w:rPr>
        <w:t xml:space="preserve"> </w:t>
      </w:r>
    </w:p>
  </w:footnote>
  <w:footnote w:id="10">
    <w:p w:rsidR="00EF2A68" w:rsidRPr="00EE0949" w:rsidRDefault="00EF2A68">
      <w:pPr>
        <w:pStyle w:val="FootnoteText"/>
        <w:rPr>
          <w:lang w:val="en-GB"/>
        </w:rPr>
      </w:pPr>
      <w:r>
        <w:rPr>
          <w:rStyle w:val="FootnoteReference"/>
        </w:rPr>
        <w:footnoteRef/>
      </w:r>
      <w:r>
        <w:t xml:space="preserve"> </w:t>
      </w:r>
      <w:hyperlink r:id="rId9" w:history="1">
        <w:r w:rsidRPr="004B245D">
          <w:rPr>
            <w:rStyle w:val="Hyperlink"/>
            <w:sz w:val="16"/>
            <w:szCs w:val="16"/>
          </w:rPr>
          <w:t>http://www.legislation.gov.uk/ukpga/2000/36/contents</w:t>
        </w:r>
      </w:hyperlink>
      <w:r>
        <w:rPr>
          <w:sz w:val="16"/>
          <w:szCs w:val="16"/>
        </w:rPr>
        <w:t xml:space="preserve"> </w:t>
      </w:r>
    </w:p>
  </w:footnote>
  <w:footnote w:id="11">
    <w:p w:rsidR="00EF2A68" w:rsidRPr="00EE0949" w:rsidRDefault="00EF2A68" w:rsidP="00C00153">
      <w:pPr>
        <w:pStyle w:val="FootnoteText"/>
        <w:rPr>
          <w:sz w:val="16"/>
          <w:szCs w:val="16"/>
          <w:lang w:val="en-GB"/>
        </w:rPr>
      </w:pPr>
      <w:r>
        <w:rPr>
          <w:rStyle w:val="FootnoteReference"/>
          <w:sz w:val="16"/>
          <w:szCs w:val="16"/>
        </w:rPr>
        <w:t>12</w:t>
      </w:r>
      <w:r w:rsidRPr="00F61DA4">
        <w:rPr>
          <w:sz w:val="16"/>
          <w:szCs w:val="16"/>
        </w:rPr>
        <w:t xml:space="preserve">https://www.ojeu.eu/thresholds.aspx </w:t>
      </w:r>
    </w:p>
  </w:footnote>
  <w:footnote w:id="12">
    <w:p w:rsidR="00EF2A68" w:rsidRPr="004079C6" w:rsidRDefault="00EF2A68" w:rsidP="009D3E34">
      <w:pPr>
        <w:pStyle w:val="FootnoteText"/>
        <w:rPr>
          <w:sz w:val="16"/>
          <w:szCs w:val="16"/>
          <w:lang w:val="en-GB"/>
        </w:rPr>
      </w:pPr>
      <w:r>
        <w:rPr>
          <w:rStyle w:val="FootnoteReference"/>
          <w:sz w:val="16"/>
          <w:szCs w:val="16"/>
        </w:rPr>
        <w:t xml:space="preserve">13 </w:t>
      </w:r>
      <w:hyperlink r:id="rId10" w:history="1">
        <w:r w:rsidRPr="004B245D">
          <w:rPr>
            <w:rStyle w:val="Hyperlink"/>
            <w:sz w:val="16"/>
            <w:szCs w:val="16"/>
          </w:rPr>
          <w:t>http://www.commissioningboard.nhs.uk/resources/resources-for-ccgs/</w:t>
        </w:r>
      </w:hyperlink>
      <w:r>
        <w:rPr>
          <w:sz w:val="16"/>
          <w:szCs w:val="16"/>
        </w:rPr>
        <w:t xml:space="preserve"> </w:t>
      </w:r>
    </w:p>
  </w:footnote>
  <w:footnote w:id="13">
    <w:p w:rsidR="00EF2A68" w:rsidRPr="00EE69D1" w:rsidRDefault="00EF2A68">
      <w:pPr>
        <w:pStyle w:val="FootnoteText"/>
        <w:rPr>
          <w:sz w:val="16"/>
          <w:szCs w:val="16"/>
          <w:lang w:val="en-GB"/>
        </w:rPr>
      </w:pPr>
      <w:r>
        <w:rPr>
          <w:rStyle w:val="FootnoteReference"/>
          <w:sz w:val="16"/>
          <w:szCs w:val="16"/>
        </w:rPr>
        <w:t>14</w:t>
      </w:r>
      <w:r w:rsidRPr="00EE69D1">
        <w:rPr>
          <w:sz w:val="16"/>
          <w:szCs w:val="16"/>
        </w:rPr>
        <w:t xml:space="preserve"> </w:t>
      </w:r>
      <w:hyperlink r:id="rId11" w:history="1">
        <w:r w:rsidRPr="00895AEB">
          <w:rPr>
            <w:rStyle w:val="Hyperlink"/>
            <w:sz w:val="16"/>
            <w:szCs w:val="16"/>
          </w:rPr>
          <w:t>http://ccs.cabinetoffice.gov.uk/</w:t>
        </w:r>
      </w:hyperlink>
      <w:r>
        <w:rPr>
          <w:sz w:val="16"/>
          <w:szCs w:val="16"/>
        </w:rPr>
        <w:t xml:space="preserve"> </w:t>
      </w:r>
    </w:p>
  </w:footnote>
  <w:footnote w:id="14">
    <w:p w:rsidR="00EF2A68" w:rsidRPr="00EE69D1" w:rsidRDefault="00EF2A68">
      <w:pPr>
        <w:pStyle w:val="FootnoteText"/>
        <w:rPr>
          <w:sz w:val="16"/>
          <w:szCs w:val="16"/>
          <w:lang w:val="en-GB"/>
        </w:rPr>
      </w:pPr>
      <w:r>
        <w:rPr>
          <w:rStyle w:val="FootnoteReference"/>
          <w:sz w:val="16"/>
          <w:szCs w:val="16"/>
        </w:rPr>
        <w:t>15</w:t>
      </w:r>
      <w:hyperlink r:id="rId12" w:history="1">
        <w:r w:rsidRPr="004B245D">
          <w:rPr>
            <w:rStyle w:val="Hyperlink"/>
            <w:sz w:val="16"/>
            <w:szCs w:val="16"/>
          </w:rPr>
          <w:t>http://www.sbs.nhs.uk/</w:t>
        </w:r>
      </w:hyperlink>
      <w:r>
        <w:rPr>
          <w:sz w:val="16"/>
          <w:szCs w:val="16"/>
        </w:rPr>
        <w:t xml:space="preserve"> </w:t>
      </w:r>
    </w:p>
  </w:footnote>
  <w:footnote w:id="15">
    <w:p w:rsidR="00EF2A68" w:rsidRPr="00EE69D1" w:rsidRDefault="00EF2A68">
      <w:pPr>
        <w:pStyle w:val="FootnoteText"/>
        <w:rPr>
          <w:sz w:val="16"/>
          <w:szCs w:val="16"/>
          <w:lang w:val="en-GB"/>
        </w:rPr>
      </w:pPr>
      <w:r>
        <w:rPr>
          <w:rStyle w:val="FootnoteReference"/>
          <w:sz w:val="16"/>
          <w:szCs w:val="16"/>
        </w:rPr>
        <w:t>16</w:t>
      </w:r>
      <w:hyperlink r:id="rId13" w:history="1">
        <w:r w:rsidRPr="004B245D">
          <w:rPr>
            <w:rStyle w:val="Hyperlink"/>
            <w:sz w:val="16"/>
            <w:szCs w:val="16"/>
          </w:rPr>
          <w:t>http://www.supplychain.nhs.uk/</w:t>
        </w:r>
      </w:hyperlink>
      <w:r>
        <w:rPr>
          <w:sz w:val="16"/>
          <w:szCs w:val="16"/>
        </w:rPr>
        <w:t xml:space="preserve"> </w:t>
      </w:r>
    </w:p>
  </w:footnote>
  <w:footnote w:id="16">
    <w:p w:rsidR="00EF2A68" w:rsidRPr="00EE69D1" w:rsidRDefault="00EF2A68">
      <w:pPr>
        <w:pStyle w:val="FootnoteText"/>
        <w:rPr>
          <w:sz w:val="16"/>
          <w:szCs w:val="16"/>
          <w:lang w:val="en-GB"/>
        </w:rPr>
      </w:pPr>
      <w:r>
        <w:rPr>
          <w:rStyle w:val="FootnoteReference"/>
          <w:sz w:val="16"/>
          <w:szCs w:val="16"/>
        </w:rPr>
        <w:t>17</w:t>
      </w:r>
      <w:hyperlink r:id="rId14" w:history="1">
        <w:r w:rsidRPr="004B245D">
          <w:rPr>
            <w:rStyle w:val="Hyperlink"/>
            <w:sz w:val="16"/>
            <w:szCs w:val="16"/>
          </w:rPr>
          <w:t>http://www.dh.gov.uk/</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7" w:type="dxa"/>
      <w:tblInd w:w="-34" w:type="dxa"/>
      <w:tblLayout w:type="fixed"/>
      <w:tblLook w:val="0000" w:firstRow="0" w:lastRow="0" w:firstColumn="0" w:lastColumn="0" w:noHBand="0" w:noVBand="0"/>
    </w:tblPr>
    <w:tblGrid>
      <w:gridCol w:w="5421"/>
      <w:gridCol w:w="1331"/>
      <w:gridCol w:w="1638"/>
      <w:gridCol w:w="1127"/>
    </w:tblGrid>
    <w:tr w:rsidR="00EF2A68" w:rsidRPr="009974B8" w:rsidTr="009974B8">
      <w:trPr>
        <w:cantSplit/>
        <w:trHeight w:val="440"/>
      </w:trPr>
      <w:tc>
        <w:tcPr>
          <w:tcW w:w="9517" w:type="dxa"/>
          <w:gridSpan w:val="4"/>
        </w:tcPr>
        <w:p w:rsidR="00EF2A68" w:rsidRPr="009974B8" w:rsidRDefault="00EF2A68" w:rsidP="009974B8">
          <w:pPr>
            <w:overflowPunct w:val="0"/>
            <w:autoSpaceDE w:val="0"/>
            <w:autoSpaceDN w:val="0"/>
            <w:adjustRightInd w:val="0"/>
            <w:jc w:val="center"/>
            <w:textAlignment w:val="baseline"/>
            <w:rPr>
              <w:rFonts w:ascii="Arial Narrow" w:hAnsi="Arial Narrow"/>
              <w:b/>
              <w:color w:val="808080"/>
              <w:sz w:val="20"/>
              <w:szCs w:val="22"/>
              <w:lang w:val="en-GB"/>
            </w:rPr>
          </w:pPr>
          <w:r w:rsidRPr="009974B8">
            <w:rPr>
              <w:rFonts w:ascii="Arial Narrow" w:hAnsi="Arial Narrow"/>
              <w:b/>
              <w:noProof/>
              <w:color w:val="808080"/>
              <w:sz w:val="20"/>
              <w:szCs w:val="22"/>
              <w:lang w:val="en-GB"/>
            </w:rPr>
            <w:t>NHS Sheffield Clinical Commissioning Group</w:t>
          </w:r>
        </w:p>
        <w:p w:rsidR="00EF2A68" w:rsidRPr="009974B8" w:rsidRDefault="00EF2A68" w:rsidP="009974B8">
          <w:pPr>
            <w:tabs>
              <w:tab w:val="right" w:pos="9394"/>
            </w:tabs>
            <w:overflowPunct w:val="0"/>
            <w:autoSpaceDE w:val="0"/>
            <w:autoSpaceDN w:val="0"/>
            <w:adjustRightInd w:val="0"/>
            <w:jc w:val="center"/>
            <w:textAlignment w:val="baseline"/>
            <w:rPr>
              <w:rFonts w:ascii="Arial Narrow" w:hAnsi="Arial Narrow"/>
              <w:b/>
              <w:color w:val="808080"/>
              <w:sz w:val="20"/>
              <w:szCs w:val="22"/>
              <w:lang w:val="en-GB"/>
            </w:rPr>
          </w:pPr>
        </w:p>
      </w:tc>
    </w:tr>
    <w:tr w:rsidR="00EF2A68" w:rsidRPr="009974B8" w:rsidTr="009974B8">
      <w:trPr>
        <w:trHeight w:val="133"/>
      </w:trPr>
      <w:tc>
        <w:tcPr>
          <w:tcW w:w="5421" w:type="dxa"/>
          <w:tcBorders>
            <w:top w:val="single" w:sz="2" w:space="0" w:color="999999"/>
          </w:tcBorders>
          <w:vAlign w:val="bottom"/>
        </w:tcPr>
        <w:p w:rsidR="00EF2A68" w:rsidRPr="009974B8" w:rsidRDefault="00EF2A68" w:rsidP="009974B8">
          <w:pPr>
            <w:ind w:left="34"/>
            <w:rPr>
              <w:color w:val="808080"/>
              <w:sz w:val="16"/>
            </w:rPr>
          </w:pPr>
          <w:r w:rsidRPr="009974B8">
            <w:rPr>
              <w:color w:val="808080"/>
              <w:sz w:val="16"/>
            </w:rPr>
            <w:t>Doc</w:t>
          </w:r>
        </w:p>
      </w:tc>
      <w:tc>
        <w:tcPr>
          <w:tcW w:w="1331" w:type="dxa"/>
          <w:tcBorders>
            <w:top w:val="single" w:sz="2" w:space="0" w:color="999999"/>
          </w:tcBorders>
          <w:vAlign w:val="bottom"/>
        </w:tcPr>
        <w:p w:rsidR="00EF2A68" w:rsidRPr="009974B8" w:rsidRDefault="00EF2A68" w:rsidP="009974B8">
          <w:pPr>
            <w:jc w:val="center"/>
            <w:rPr>
              <w:color w:val="808080"/>
              <w:sz w:val="16"/>
            </w:rPr>
          </w:pPr>
          <w:r w:rsidRPr="009974B8">
            <w:rPr>
              <w:color w:val="808080"/>
              <w:sz w:val="16"/>
            </w:rPr>
            <w:t>Version</w:t>
          </w:r>
        </w:p>
      </w:tc>
      <w:tc>
        <w:tcPr>
          <w:tcW w:w="1638" w:type="dxa"/>
          <w:tcBorders>
            <w:top w:val="single" w:sz="2" w:space="0" w:color="999999"/>
          </w:tcBorders>
          <w:vAlign w:val="bottom"/>
        </w:tcPr>
        <w:p w:rsidR="00EF2A68" w:rsidRPr="009974B8" w:rsidRDefault="00EF2A68" w:rsidP="009974B8">
          <w:pPr>
            <w:ind w:left="34"/>
            <w:jc w:val="center"/>
            <w:rPr>
              <w:color w:val="808080"/>
              <w:sz w:val="16"/>
            </w:rPr>
          </w:pPr>
          <w:r w:rsidRPr="009974B8">
            <w:rPr>
              <w:color w:val="808080"/>
              <w:sz w:val="16"/>
            </w:rPr>
            <w:t>Date</w:t>
          </w:r>
        </w:p>
      </w:tc>
      <w:tc>
        <w:tcPr>
          <w:tcW w:w="1127" w:type="dxa"/>
          <w:tcBorders>
            <w:top w:val="single" w:sz="2" w:space="0" w:color="999999"/>
          </w:tcBorders>
          <w:vAlign w:val="bottom"/>
        </w:tcPr>
        <w:p w:rsidR="00EF2A68" w:rsidRPr="009974B8" w:rsidRDefault="00EF2A68" w:rsidP="009974B8">
          <w:pPr>
            <w:ind w:left="176"/>
            <w:jc w:val="right"/>
            <w:rPr>
              <w:color w:val="808080"/>
              <w:sz w:val="16"/>
            </w:rPr>
          </w:pPr>
          <w:r w:rsidRPr="009974B8">
            <w:rPr>
              <w:color w:val="808080"/>
              <w:sz w:val="16"/>
            </w:rPr>
            <w:t>Page</w:t>
          </w:r>
        </w:p>
      </w:tc>
    </w:tr>
    <w:tr w:rsidR="00EF2A68" w:rsidRPr="009974B8" w:rsidTr="009974B8">
      <w:trPr>
        <w:trHeight w:val="190"/>
      </w:trPr>
      <w:tc>
        <w:tcPr>
          <w:tcW w:w="5421" w:type="dxa"/>
          <w:tcBorders>
            <w:bottom w:val="single" w:sz="2" w:space="0" w:color="999999"/>
          </w:tcBorders>
        </w:tcPr>
        <w:p w:rsidR="00EF2A68" w:rsidRPr="009974B8" w:rsidRDefault="00EF2A68" w:rsidP="008A45F0">
          <w:pPr>
            <w:ind w:left="34"/>
            <w:rPr>
              <w:color w:val="808080"/>
              <w:sz w:val="20"/>
            </w:rPr>
          </w:pPr>
          <w:r w:rsidRPr="009974B8">
            <w:rPr>
              <w:color w:val="808080"/>
              <w:sz w:val="20"/>
            </w:rPr>
            <w:t xml:space="preserve">Procurement </w:t>
          </w:r>
          <w:r>
            <w:rPr>
              <w:color w:val="808080"/>
              <w:sz w:val="20"/>
            </w:rPr>
            <w:t>Strategy</w:t>
          </w:r>
        </w:p>
      </w:tc>
      <w:tc>
        <w:tcPr>
          <w:tcW w:w="1331" w:type="dxa"/>
          <w:tcBorders>
            <w:bottom w:val="single" w:sz="2" w:space="0" w:color="999999"/>
          </w:tcBorders>
        </w:tcPr>
        <w:p w:rsidR="00EF2A68" w:rsidRPr="009974B8" w:rsidRDefault="00EF2A68" w:rsidP="001738A8">
          <w:pPr>
            <w:jc w:val="center"/>
            <w:rPr>
              <w:color w:val="808080"/>
              <w:sz w:val="20"/>
            </w:rPr>
          </w:pPr>
          <w:r w:rsidRPr="009974B8">
            <w:rPr>
              <w:color w:val="808080"/>
              <w:sz w:val="20"/>
            </w:rPr>
            <w:t>1</w:t>
          </w:r>
          <w:r>
            <w:rPr>
              <w:color w:val="808080"/>
              <w:sz w:val="20"/>
            </w:rPr>
            <w:t>.5</w:t>
          </w:r>
        </w:p>
      </w:tc>
      <w:tc>
        <w:tcPr>
          <w:tcW w:w="1638" w:type="dxa"/>
          <w:tcBorders>
            <w:bottom w:val="single" w:sz="2" w:space="0" w:color="999999"/>
          </w:tcBorders>
        </w:tcPr>
        <w:p w:rsidR="00EF2A68" w:rsidRPr="009974B8" w:rsidRDefault="00EF2A68" w:rsidP="001738A8">
          <w:pPr>
            <w:ind w:left="34"/>
            <w:jc w:val="center"/>
            <w:rPr>
              <w:color w:val="808080"/>
              <w:sz w:val="20"/>
            </w:rPr>
          </w:pPr>
          <w:r>
            <w:rPr>
              <w:color w:val="808080"/>
              <w:sz w:val="20"/>
            </w:rPr>
            <w:t>May 2018</w:t>
          </w:r>
        </w:p>
      </w:tc>
      <w:tc>
        <w:tcPr>
          <w:tcW w:w="1127" w:type="dxa"/>
          <w:tcBorders>
            <w:bottom w:val="single" w:sz="2" w:space="0" w:color="999999"/>
          </w:tcBorders>
        </w:tcPr>
        <w:p w:rsidR="00EF2A68" w:rsidRPr="009974B8" w:rsidRDefault="00EF2A68" w:rsidP="009974B8">
          <w:pPr>
            <w:ind w:left="176"/>
            <w:jc w:val="right"/>
            <w:rPr>
              <w:color w:val="808080"/>
              <w:sz w:val="20"/>
            </w:rPr>
          </w:pPr>
          <w:r w:rsidRPr="009974B8">
            <w:rPr>
              <w:snapToGrid w:val="0"/>
              <w:color w:val="808080"/>
              <w:sz w:val="20"/>
            </w:rPr>
            <w:fldChar w:fldCharType="begin"/>
          </w:r>
          <w:r w:rsidRPr="009974B8">
            <w:rPr>
              <w:snapToGrid w:val="0"/>
              <w:color w:val="808080"/>
              <w:sz w:val="20"/>
            </w:rPr>
            <w:instrText xml:space="preserve"> PAGE </w:instrText>
          </w:r>
          <w:r w:rsidRPr="009974B8">
            <w:rPr>
              <w:snapToGrid w:val="0"/>
              <w:color w:val="808080"/>
              <w:sz w:val="20"/>
            </w:rPr>
            <w:fldChar w:fldCharType="separate"/>
          </w:r>
          <w:r w:rsidR="00FE2EDA">
            <w:rPr>
              <w:noProof/>
              <w:snapToGrid w:val="0"/>
              <w:color w:val="808080"/>
              <w:sz w:val="20"/>
            </w:rPr>
            <w:t>28</w:t>
          </w:r>
          <w:r w:rsidRPr="009974B8">
            <w:rPr>
              <w:snapToGrid w:val="0"/>
              <w:color w:val="808080"/>
              <w:sz w:val="20"/>
            </w:rPr>
            <w:fldChar w:fldCharType="end"/>
          </w:r>
          <w:r w:rsidRPr="009974B8">
            <w:rPr>
              <w:snapToGrid w:val="0"/>
              <w:color w:val="808080"/>
              <w:sz w:val="20"/>
            </w:rPr>
            <w:t xml:space="preserve"> of </w:t>
          </w:r>
          <w:r w:rsidRPr="009974B8">
            <w:rPr>
              <w:snapToGrid w:val="0"/>
              <w:color w:val="808080"/>
              <w:sz w:val="20"/>
            </w:rPr>
            <w:fldChar w:fldCharType="begin"/>
          </w:r>
          <w:r w:rsidRPr="009974B8">
            <w:rPr>
              <w:snapToGrid w:val="0"/>
              <w:color w:val="808080"/>
              <w:sz w:val="20"/>
            </w:rPr>
            <w:instrText xml:space="preserve"> NUMPAGES </w:instrText>
          </w:r>
          <w:r w:rsidRPr="009974B8">
            <w:rPr>
              <w:snapToGrid w:val="0"/>
              <w:color w:val="808080"/>
              <w:sz w:val="20"/>
            </w:rPr>
            <w:fldChar w:fldCharType="separate"/>
          </w:r>
          <w:r w:rsidR="00FE2EDA">
            <w:rPr>
              <w:noProof/>
              <w:snapToGrid w:val="0"/>
              <w:color w:val="808080"/>
              <w:sz w:val="20"/>
            </w:rPr>
            <w:t>28</w:t>
          </w:r>
          <w:r w:rsidRPr="009974B8">
            <w:rPr>
              <w:snapToGrid w:val="0"/>
              <w:color w:val="808080"/>
              <w:sz w:val="20"/>
            </w:rPr>
            <w:fldChar w:fldCharType="end"/>
          </w:r>
        </w:p>
      </w:tc>
    </w:tr>
  </w:tbl>
  <w:p w:rsidR="00EF2A68" w:rsidRDefault="00EF2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3F04"/>
    <w:multiLevelType w:val="multilevel"/>
    <w:tmpl w:val="981004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F68DE"/>
    <w:multiLevelType w:val="hybridMultilevel"/>
    <w:tmpl w:val="87FEB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42C5"/>
    <w:multiLevelType w:val="hybridMultilevel"/>
    <w:tmpl w:val="8844FC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71CF5"/>
    <w:multiLevelType w:val="multilevel"/>
    <w:tmpl w:val="8B7EF5EA"/>
    <w:lvl w:ilvl="0">
      <w:start w:val="2"/>
      <w:numFmt w:val="decimal"/>
      <w:lvlText w:val="%1"/>
      <w:lvlJc w:val="left"/>
      <w:pPr>
        <w:ind w:left="405" w:hanging="405"/>
      </w:pPr>
      <w:rPr>
        <w:rFonts w:eastAsia="Arial" w:hint="default"/>
        <w:sz w:val="28"/>
      </w:rPr>
    </w:lvl>
    <w:lvl w:ilvl="1">
      <w:start w:val="1"/>
      <w:numFmt w:val="decimal"/>
      <w:lvlText w:val="%1.%2"/>
      <w:lvlJc w:val="left"/>
      <w:pPr>
        <w:ind w:left="405" w:hanging="405"/>
      </w:pPr>
      <w:rPr>
        <w:rFonts w:eastAsia="Arial" w:hint="default"/>
        <w:sz w:val="24"/>
        <w:szCs w:val="24"/>
      </w:rPr>
    </w:lvl>
    <w:lvl w:ilvl="2">
      <w:start w:val="1"/>
      <w:numFmt w:val="decimal"/>
      <w:lvlText w:val="%1.%2.%3"/>
      <w:lvlJc w:val="left"/>
      <w:pPr>
        <w:ind w:left="720" w:hanging="720"/>
      </w:pPr>
      <w:rPr>
        <w:rFonts w:eastAsia="Arial" w:hint="default"/>
        <w:sz w:val="28"/>
      </w:rPr>
    </w:lvl>
    <w:lvl w:ilvl="3">
      <w:start w:val="1"/>
      <w:numFmt w:val="decimal"/>
      <w:lvlText w:val="%1.%2.%3.%4"/>
      <w:lvlJc w:val="left"/>
      <w:pPr>
        <w:ind w:left="720" w:hanging="720"/>
      </w:pPr>
      <w:rPr>
        <w:rFonts w:eastAsia="Arial" w:hint="default"/>
        <w:sz w:val="28"/>
      </w:rPr>
    </w:lvl>
    <w:lvl w:ilvl="4">
      <w:start w:val="1"/>
      <w:numFmt w:val="decimal"/>
      <w:lvlText w:val="%1.%2.%3.%4.%5"/>
      <w:lvlJc w:val="left"/>
      <w:pPr>
        <w:ind w:left="1080" w:hanging="1080"/>
      </w:pPr>
      <w:rPr>
        <w:rFonts w:eastAsia="Arial" w:hint="default"/>
        <w:sz w:val="28"/>
      </w:rPr>
    </w:lvl>
    <w:lvl w:ilvl="5">
      <w:start w:val="1"/>
      <w:numFmt w:val="decimal"/>
      <w:lvlText w:val="%1.%2.%3.%4.%5.%6"/>
      <w:lvlJc w:val="left"/>
      <w:pPr>
        <w:ind w:left="1080" w:hanging="1080"/>
      </w:pPr>
      <w:rPr>
        <w:rFonts w:eastAsia="Arial" w:hint="default"/>
        <w:sz w:val="28"/>
      </w:rPr>
    </w:lvl>
    <w:lvl w:ilvl="6">
      <w:start w:val="1"/>
      <w:numFmt w:val="decimal"/>
      <w:lvlText w:val="%1.%2.%3.%4.%5.%6.%7"/>
      <w:lvlJc w:val="left"/>
      <w:pPr>
        <w:ind w:left="1440" w:hanging="1440"/>
      </w:pPr>
      <w:rPr>
        <w:rFonts w:eastAsia="Arial" w:hint="default"/>
        <w:sz w:val="28"/>
      </w:rPr>
    </w:lvl>
    <w:lvl w:ilvl="7">
      <w:start w:val="1"/>
      <w:numFmt w:val="decimal"/>
      <w:lvlText w:val="%1.%2.%3.%4.%5.%6.%7.%8"/>
      <w:lvlJc w:val="left"/>
      <w:pPr>
        <w:ind w:left="1440" w:hanging="1440"/>
      </w:pPr>
      <w:rPr>
        <w:rFonts w:eastAsia="Arial" w:hint="default"/>
        <w:sz w:val="28"/>
      </w:rPr>
    </w:lvl>
    <w:lvl w:ilvl="8">
      <w:start w:val="1"/>
      <w:numFmt w:val="decimal"/>
      <w:lvlText w:val="%1.%2.%3.%4.%5.%6.%7.%8.%9"/>
      <w:lvlJc w:val="left"/>
      <w:pPr>
        <w:ind w:left="1800" w:hanging="1800"/>
      </w:pPr>
      <w:rPr>
        <w:rFonts w:eastAsia="Arial" w:hint="default"/>
        <w:sz w:val="28"/>
      </w:rPr>
    </w:lvl>
  </w:abstractNum>
  <w:abstractNum w:abstractNumId="4">
    <w:nsid w:val="13CD598E"/>
    <w:multiLevelType w:val="multilevel"/>
    <w:tmpl w:val="CB7025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A61D0"/>
    <w:multiLevelType w:val="hybridMultilevel"/>
    <w:tmpl w:val="5FE43FF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E7D97"/>
    <w:multiLevelType w:val="hybridMultilevel"/>
    <w:tmpl w:val="265E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97957"/>
    <w:multiLevelType w:val="hybridMultilevel"/>
    <w:tmpl w:val="98624B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9EB7DE0"/>
    <w:multiLevelType w:val="hybridMultilevel"/>
    <w:tmpl w:val="8C2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821A7"/>
    <w:multiLevelType w:val="hybridMultilevel"/>
    <w:tmpl w:val="95A2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9A410B"/>
    <w:multiLevelType w:val="hybridMultilevel"/>
    <w:tmpl w:val="075E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65F6C"/>
    <w:multiLevelType w:val="multilevel"/>
    <w:tmpl w:val="F982A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6E3789"/>
    <w:multiLevelType w:val="multilevel"/>
    <w:tmpl w:val="8076A69C"/>
    <w:lvl w:ilvl="0">
      <w:start w:val="2"/>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9DE5302"/>
    <w:multiLevelType w:val="multilevel"/>
    <w:tmpl w:val="08561B84"/>
    <w:lvl w:ilvl="0">
      <w:start w:val="1"/>
      <w:numFmt w:val="decimal"/>
      <w:pStyle w:val="Heading1"/>
      <w:lvlText w:val="%1"/>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1116"/>
        </w:tabs>
        <w:ind w:left="1116" w:hanging="576"/>
      </w:pPr>
      <w:rPr>
        <w:rFonts w:ascii="Arial Bold" w:hAnsi="Arial Bold" w:hint="default"/>
        <w:b/>
        <w:i w:val="0"/>
        <w:sz w:val="24"/>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ascii="Arial" w:hAnsi="Arial" w:hint="default"/>
        <w:b/>
        <w:i w:val="0"/>
        <w:sz w:val="22"/>
      </w:rPr>
    </w:lvl>
    <w:lvl w:ilvl="4">
      <w:start w:val="1"/>
      <w:numFmt w:val="decimal"/>
      <w:pStyle w:val="Heading5"/>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14">
    <w:nsid w:val="2B603825"/>
    <w:multiLevelType w:val="multilevel"/>
    <w:tmpl w:val="4BDC91B4"/>
    <w:lvl w:ilvl="0">
      <w:start w:val="2"/>
      <w:numFmt w:val="decimal"/>
      <w:lvlText w:val="%1"/>
      <w:lvlJc w:val="left"/>
      <w:pPr>
        <w:ind w:left="570" w:hanging="5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990722"/>
    <w:multiLevelType w:val="hybridMultilevel"/>
    <w:tmpl w:val="A48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0280F"/>
    <w:multiLevelType w:val="hybridMultilevel"/>
    <w:tmpl w:val="EFB80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2C14B39"/>
    <w:multiLevelType w:val="hybridMultilevel"/>
    <w:tmpl w:val="B9F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95A3C"/>
    <w:multiLevelType w:val="hybridMultilevel"/>
    <w:tmpl w:val="7AAEE7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6BA506E">
      <w:start w:val="2"/>
      <w:numFmt w:val="bullet"/>
      <w:lvlText w:val="-"/>
      <w:lvlJc w:val="left"/>
      <w:pPr>
        <w:ind w:left="2340" w:hanging="360"/>
      </w:pPr>
      <w:rPr>
        <w:rFonts w:ascii="Arial" w:eastAsia="Arial" w:hAnsi="Arial" w:cs="Arial" w:hint="default"/>
      </w:rPr>
    </w:lvl>
    <w:lvl w:ilvl="3" w:tplc="7B10B9FA">
      <w:start w:val="6"/>
      <w:numFmt w:val="decimal"/>
      <w:lvlText w:val="%4"/>
      <w:lvlJc w:val="left"/>
      <w:pPr>
        <w:ind w:left="2880" w:hanging="360"/>
      </w:pPr>
      <w:rPr>
        <w:rFonts w:hint="default"/>
      </w:rPr>
    </w:lvl>
    <w:lvl w:ilvl="4" w:tplc="66DEEC4E">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D17D7A"/>
    <w:multiLevelType w:val="hybridMultilevel"/>
    <w:tmpl w:val="A256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17">
      <w:start w:val="1"/>
      <w:numFmt w:val="low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91EA2"/>
    <w:multiLevelType w:val="hybridMultilevel"/>
    <w:tmpl w:val="DA5E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603044"/>
    <w:multiLevelType w:val="hybridMultilevel"/>
    <w:tmpl w:val="A02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07475"/>
    <w:multiLevelType w:val="hybridMultilevel"/>
    <w:tmpl w:val="EAB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1639F"/>
    <w:multiLevelType w:val="multilevel"/>
    <w:tmpl w:val="0A361DA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6C47BB"/>
    <w:multiLevelType w:val="hybridMultilevel"/>
    <w:tmpl w:val="3E2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04775"/>
    <w:multiLevelType w:val="hybridMultilevel"/>
    <w:tmpl w:val="200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C47EC"/>
    <w:multiLevelType w:val="multilevel"/>
    <w:tmpl w:val="A894D93A"/>
    <w:lvl w:ilvl="0">
      <w:start w:val="1"/>
      <w:numFmt w:val="decimal"/>
      <w:lvlText w:val="%1"/>
      <w:lvlJc w:val="left"/>
      <w:pPr>
        <w:ind w:left="405" w:hanging="405"/>
      </w:pPr>
      <w:rPr>
        <w:rFonts w:hint="default"/>
      </w:rPr>
    </w:lvl>
    <w:lvl w:ilvl="1">
      <w:start w:val="3"/>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231AE8"/>
    <w:multiLevelType w:val="hybridMultilevel"/>
    <w:tmpl w:val="C060A0C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9102F8"/>
    <w:multiLevelType w:val="hybridMultilevel"/>
    <w:tmpl w:val="C6EA71C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4D0EFE"/>
    <w:multiLevelType w:val="hybridMultilevel"/>
    <w:tmpl w:val="C9648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64061"/>
    <w:multiLevelType w:val="hybridMultilevel"/>
    <w:tmpl w:val="FD0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65DCB"/>
    <w:multiLevelType w:val="hybridMultilevel"/>
    <w:tmpl w:val="04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4B7D4E"/>
    <w:multiLevelType w:val="hybridMultilevel"/>
    <w:tmpl w:val="59CE9324"/>
    <w:lvl w:ilvl="0" w:tplc="08090001">
      <w:start w:val="1"/>
      <w:numFmt w:val="bullet"/>
      <w:lvlText w:val=""/>
      <w:lvlJc w:val="left"/>
      <w:pPr>
        <w:ind w:left="720" w:hanging="360"/>
      </w:pPr>
      <w:rPr>
        <w:rFonts w:ascii="Symbol" w:hAnsi="Symbol" w:hint="default"/>
      </w:rPr>
    </w:lvl>
    <w:lvl w:ilvl="1" w:tplc="5906B5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CD5A48"/>
    <w:multiLevelType w:val="hybridMultilevel"/>
    <w:tmpl w:val="6DF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3977E4"/>
    <w:multiLevelType w:val="hybridMultilevel"/>
    <w:tmpl w:val="930A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15B0A"/>
    <w:multiLevelType w:val="hybridMultilevel"/>
    <w:tmpl w:val="A66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4C32EE"/>
    <w:multiLevelType w:val="multilevel"/>
    <w:tmpl w:val="39303A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5F03EA9"/>
    <w:multiLevelType w:val="multilevel"/>
    <w:tmpl w:val="58181920"/>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32"/>
  </w:num>
  <w:num w:numId="4">
    <w:abstractNumId w:val="25"/>
  </w:num>
  <w:num w:numId="5">
    <w:abstractNumId w:val="28"/>
  </w:num>
  <w:num w:numId="6">
    <w:abstractNumId w:val="34"/>
  </w:num>
  <w:num w:numId="7">
    <w:abstractNumId w:val="31"/>
  </w:num>
  <w:num w:numId="8">
    <w:abstractNumId w:val="18"/>
  </w:num>
  <w:num w:numId="9">
    <w:abstractNumId w:val="35"/>
  </w:num>
  <w:num w:numId="10">
    <w:abstractNumId w:val="30"/>
  </w:num>
  <w:num w:numId="11">
    <w:abstractNumId w:val="1"/>
  </w:num>
  <w:num w:numId="12">
    <w:abstractNumId w:val="33"/>
  </w:num>
  <w:num w:numId="13">
    <w:abstractNumId w:val="6"/>
  </w:num>
  <w:num w:numId="14">
    <w:abstractNumId w:val="26"/>
  </w:num>
  <w:num w:numId="15">
    <w:abstractNumId w:val="3"/>
  </w:num>
  <w:num w:numId="16">
    <w:abstractNumId w:val="0"/>
  </w:num>
  <w:num w:numId="17">
    <w:abstractNumId w:val="23"/>
  </w:num>
  <w:num w:numId="18">
    <w:abstractNumId w:val="12"/>
  </w:num>
  <w:num w:numId="19">
    <w:abstractNumId w:val="37"/>
  </w:num>
  <w:num w:numId="20">
    <w:abstractNumId w:val="14"/>
  </w:num>
  <w:num w:numId="21">
    <w:abstractNumId w:val="11"/>
  </w:num>
  <w:num w:numId="22">
    <w:abstractNumId w:val="4"/>
  </w:num>
  <w:num w:numId="23">
    <w:abstractNumId w:val="22"/>
  </w:num>
  <w:num w:numId="24">
    <w:abstractNumId w:val="2"/>
  </w:num>
  <w:num w:numId="25">
    <w:abstractNumId w:val="5"/>
  </w:num>
  <w:num w:numId="26">
    <w:abstractNumId w:val="27"/>
  </w:num>
  <w:num w:numId="27">
    <w:abstractNumId w:val="29"/>
  </w:num>
  <w:num w:numId="28">
    <w:abstractNumId w:val="16"/>
  </w:num>
  <w:num w:numId="29">
    <w:abstractNumId w:val="36"/>
  </w:num>
  <w:num w:numId="30">
    <w:abstractNumId w:val="10"/>
  </w:num>
  <w:num w:numId="31">
    <w:abstractNumId w:val="15"/>
  </w:num>
  <w:num w:numId="32">
    <w:abstractNumId w:val="19"/>
  </w:num>
  <w:num w:numId="33">
    <w:abstractNumId w:val="20"/>
  </w:num>
  <w:num w:numId="34">
    <w:abstractNumId w:val="7"/>
  </w:num>
  <w:num w:numId="35">
    <w:abstractNumId w:val="8"/>
  </w:num>
  <w:num w:numId="36">
    <w:abstractNumId w:val="17"/>
  </w:num>
  <w:num w:numId="37">
    <w:abstractNumId w:val="24"/>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3"/>
    <w:rsid w:val="0000324B"/>
    <w:rsid w:val="000051EE"/>
    <w:rsid w:val="00006923"/>
    <w:rsid w:val="00027A6F"/>
    <w:rsid w:val="00031694"/>
    <w:rsid w:val="0003311F"/>
    <w:rsid w:val="00037A6D"/>
    <w:rsid w:val="00043D1B"/>
    <w:rsid w:val="00051083"/>
    <w:rsid w:val="0005204B"/>
    <w:rsid w:val="000522F3"/>
    <w:rsid w:val="00056661"/>
    <w:rsid w:val="00066843"/>
    <w:rsid w:val="00067A41"/>
    <w:rsid w:val="0007282F"/>
    <w:rsid w:val="000843EC"/>
    <w:rsid w:val="00087766"/>
    <w:rsid w:val="00092568"/>
    <w:rsid w:val="000A1552"/>
    <w:rsid w:val="000A670B"/>
    <w:rsid w:val="000A73F1"/>
    <w:rsid w:val="000A77EC"/>
    <w:rsid w:val="000A7BBA"/>
    <w:rsid w:val="000B3E99"/>
    <w:rsid w:val="000C1CBF"/>
    <w:rsid w:val="000D0745"/>
    <w:rsid w:val="000D2405"/>
    <w:rsid w:val="000D37D6"/>
    <w:rsid w:val="000D553E"/>
    <w:rsid w:val="000D5771"/>
    <w:rsid w:val="000E0267"/>
    <w:rsid w:val="000E3F5E"/>
    <w:rsid w:val="000F3BB1"/>
    <w:rsid w:val="000F5753"/>
    <w:rsid w:val="00100115"/>
    <w:rsid w:val="00102926"/>
    <w:rsid w:val="00123D1E"/>
    <w:rsid w:val="001371A5"/>
    <w:rsid w:val="0014162C"/>
    <w:rsid w:val="001424BA"/>
    <w:rsid w:val="00146DD4"/>
    <w:rsid w:val="00147673"/>
    <w:rsid w:val="00147B8C"/>
    <w:rsid w:val="0015368D"/>
    <w:rsid w:val="0015554A"/>
    <w:rsid w:val="0015797C"/>
    <w:rsid w:val="001738A8"/>
    <w:rsid w:val="00173CAE"/>
    <w:rsid w:val="0018468F"/>
    <w:rsid w:val="00185AF5"/>
    <w:rsid w:val="001913AA"/>
    <w:rsid w:val="0019764D"/>
    <w:rsid w:val="001A37CC"/>
    <w:rsid w:val="001A57CE"/>
    <w:rsid w:val="001A7AC9"/>
    <w:rsid w:val="001B2373"/>
    <w:rsid w:val="001B5FE0"/>
    <w:rsid w:val="001C1200"/>
    <w:rsid w:val="001C69FF"/>
    <w:rsid w:val="001E0D40"/>
    <w:rsid w:val="001E3871"/>
    <w:rsid w:val="001E3C5D"/>
    <w:rsid w:val="001E5082"/>
    <w:rsid w:val="001E6BBD"/>
    <w:rsid w:val="001F0C8E"/>
    <w:rsid w:val="001F5EC3"/>
    <w:rsid w:val="002115EB"/>
    <w:rsid w:val="002141A4"/>
    <w:rsid w:val="002160E2"/>
    <w:rsid w:val="00217DDB"/>
    <w:rsid w:val="00222169"/>
    <w:rsid w:val="00230698"/>
    <w:rsid w:val="002336D8"/>
    <w:rsid w:val="00240259"/>
    <w:rsid w:val="00242405"/>
    <w:rsid w:val="002436AC"/>
    <w:rsid w:val="002447E9"/>
    <w:rsid w:val="00244BF7"/>
    <w:rsid w:val="00247757"/>
    <w:rsid w:val="00247A96"/>
    <w:rsid w:val="0025158C"/>
    <w:rsid w:val="002525E1"/>
    <w:rsid w:val="00252A73"/>
    <w:rsid w:val="002638C8"/>
    <w:rsid w:val="00282E0B"/>
    <w:rsid w:val="00286A5C"/>
    <w:rsid w:val="00286DEF"/>
    <w:rsid w:val="002A0D02"/>
    <w:rsid w:val="002A37C3"/>
    <w:rsid w:val="002A53E4"/>
    <w:rsid w:val="002B619F"/>
    <w:rsid w:val="002B64BD"/>
    <w:rsid w:val="002B6689"/>
    <w:rsid w:val="002B684F"/>
    <w:rsid w:val="002B6D96"/>
    <w:rsid w:val="002C42A2"/>
    <w:rsid w:val="002C4A11"/>
    <w:rsid w:val="002C5100"/>
    <w:rsid w:val="002D5132"/>
    <w:rsid w:val="002E26E1"/>
    <w:rsid w:val="002E370C"/>
    <w:rsid w:val="002E43F5"/>
    <w:rsid w:val="002E532F"/>
    <w:rsid w:val="002F422C"/>
    <w:rsid w:val="002F614B"/>
    <w:rsid w:val="0030281C"/>
    <w:rsid w:val="003043DF"/>
    <w:rsid w:val="00312EA2"/>
    <w:rsid w:val="0031393A"/>
    <w:rsid w:val="00314F71"/>
    <w:rsid w:val="00334C1F"/>
    <w:rsid w:val="0034790B"/>
    <w:rsid w:val="00351938"/>
    <w:rsid w:val="00351E97"/>
    <w:rsid w:val="00354912"/>
    <w:rsid w:val="00357629"/>
    <w:rsid w:val="003576A2"/>
    <w:rsid w:val="00362553"/>
    <w:rsid w:val="0037087B"/>
    <w:rsid w:val="003775F1"/>
    <w:rsid w:val="00380CE8"/>
    <w:rsid w:val="0038159F"/>
    <w:rsid w:val="00382B37"/>
    <w:rsid w:val="0038300C"/>
    <w:rsid w:val="003867EA"/>
    <w:rsid w:val="00393470"/>
    <w:rsid w:val="00397985"/>
    <w:rsid w:val="003A0820"/>
    <w:rsid w:val="003A3532"/>
    <w:rsid w:val="003A6CC3"/>
    <w:rsid w:val="003B1FF5"/>
    <w:rsid w:val="003B4268"/>
    <w:rsid w:val="003B66FF"/>
    <w:rsid w:val="003C075F"/>
    <w:rsid w:val="003C38A0"/>
    <w:rsid w:val="003C3EC4"/>
    <w:rsid w:val="003C7C0B"/>
    <w:rsid w:val="003D6EF2"/>
    <w:rsid w:val="003E2EE2"/>
    <w:rsid w:val="003E4292"/>
    <w:rsid w:val="003E62B7"/>
    <w:rsid w:val="003E711E"/>
    <w:rsid w:val="004011C0"/>
    <w:rsid w:val="004063C9"/>
    <w:rsid w:val="004079C6"/>
    <w:rsid w:val="00412270"/>
    <w:rsid w:val="0041447C"/>
    <w:rsid w:val="0041522C"/>
    <w:rsid w:val="004152B5"/>
    <w:rsid w:val="00415D60"/>
    <w:rsid w:val="004174E5"/>
    <w:rsid w:val="00423C43"/>
    <w:rsid w:val="00424AC0"/>
    <w:rsid w:val="00425B3B"/>
    <w:rsid w:val="0043245F"/>
    <w:rsid w:val="004338B2"/>
    <w:rsid w:val="004352A4"/>
    <w:rsid w:val="004354AA"/>
    <w:rsid w:val="00437AE8"/>
    <w:rsid w:val="00437DE0"/>
    <w:rsid w:val="00441FB9"/>
    <w:rsid w:val="00442CFB"/>
    <w:rsid w:val="00445104"/>
    <w:rsid w:val="004555B8"/>
    <w:rsid w:val="00457A73"/>
    <w:rsid w:val="00463665"/>
    <w:rsid w:val="00466611"/>
    <w:rsid w:val="00470BA1"/>
    <w:rsid w:val="00472AAA"/>
    <w:rsid w:val="00474987"/>
    <w:rsid w:val="00475703"/>
    <w:rsid w:val="0049077F"/>
    <w:rsid w:val="0049359C"/>
    <w:rsid w:val="004A4C04"/>
    <w:rsid w:val="004B69FD"/>
    <w:rsid w:val="004C4AEA"/>
    <w:rsid w:val="004D0E06"/>
    <w:rsid w:val="004D4409"/>
    <w:rsid w:val="004D70AC"/>
    <w:rsid w:val="004E3966"/>
    <w:rsid w:val="004E3AAC"/>
    <w:rsid w:val="004E63AF"/>
    <w:rsid w:val="004E6EBE"/>
    <w:rsid w:val="004F335C"/>
    <w:rsid w:val="004F45E4"/>
    <w:rsid w:val="005021DF"/>
    <w:rsid w:val="005041B5"/>
    <w:rsid w:val="00504570"/>
    <w:rsid w:val="0051020B"/>
    <w:rsid w:val="005174C6"/>
    <w:rsid w:val="005207C4"/>
    <w:rsid w:val="00532AEA"/>
    <w:rsid w:val="00533F4B"/>
    <w:rsid w:val="0053462B"/>
    <w:rsid w:val="005372B4"/>
    <w:rsid w:val="00540317"/>
    <w:rsid w:val="0054467F"/>
    <w:rsid w:val="00545381"/>
    <w:rsid w:val="00546321"/>
    <w:rsid w:val="00553E01"/>
    <w:rsid w:val="00553E77"/>
    <w:rsid w:val="00554EAC"/>
    <w:rsid w:val="00557334"/>
    <w:rsid w:val="005619A0"/>
    <w:rsid w:val="00565901"/>
    <w:rsid w:val="00566BC0"/>
    <w:rsid w:val="00567C4D"/>
    <w:rsid w:val="00572960"/>
    <w:rsid w:val="00581F4B"/>
    <w:rsid w:val="00582403"/>
    <w:rsid w:val="0059125E"/>
    <w:rsid w:val="00592145"/>
    <w:rsid w:val="005945F2"/>
    <w:rsid w:val="00597E41"/>
    <w:rsid w:val="005A0E2C"/>
    <w:rsid w:val="005A2127"/>
    <w:rsid w:val="005A2A2F"/>
    <w:rsid w:val="005A7AF7"/>
    <w:rsid w:val="005B0750"/>
    <w:rsid w:val="005B2700"/>
    <w:rsid w:val="005B407D"/>
    <w:rsid w:val="005B7E3C"/>
    <w:rsid w:val="005C262F"/>
    <w:rsid w:val="005C6FA5"/>
    <w:rsid w:val="005E2BBF"/>
    <w:rsid w:val="005E6D6E"/>
    <w:rsid w:val="005F2DC3"/>
    <w:rsid w:val="005F603F"/>
    <w:rsid w:val="006019DF"/>
    <w:rsid w:val="00610370"/>
    <w:rsid w:val="00614CB9"/>
    <w:rsid w:val="00614FC8"/>
    <w:rsid w:val="00624AE5"/>
    <w:rsid w:val="00633561"/>
    <w:rsid w:val="00633D3D"/>
    <w:rsid w:val="00635F16"/>
    <w:rsid w:val="00642636"/>
    <w:rsid w:val="006430B0"/>
    <w:rsid w:val="0064426A"/>
    <w:rsid w:val="00650684"/>
    <w:rsid w:val="00650C34"/>
    <w:rsid w:val="006661F4"/>
    <w:rsid w:val="00672D5A"/>
    <w:rsid w:val="00672DE2"/>
    <w:rsid w:val="00677986"/>
    <w:rsid w:val="006817BB"/>
    <w:rsid w:val="00692AD0"/>
    <w:rsid w:val="00694F84"/>
    <w:rsid w:val="006A00D9"/>
    <w:rsid w:val="006A2CB8"/>
    <w:rsid w:val="006A7947"/>
    <w:rsid w:val="006B13EE"/>
    <w:rsid w:val="006B1AD7"/>
    <w:rsid w:val="006B76D2"/>
    <w:rsid w:val="006C5BBD"/>
    <w:rsid w:val="006D5C6F"/>
    <w:rsid w:val="006E0168"/>
    <w:rsid w:val="006E1ABC"/>
    <w:rsid w:val="006E4F0D"/>
    <w:rsid w:val="006E5FCA"/>
    <w:rsid w:val="006F0514"/>
    <w:rsid w:val="006F06AE"/>
    <w:rsid w:val="006F7342"/>
    <w:rsid w:val="00702500"/>
    <w:rsid w:val="00703B68"/>
    <w:rsid w:val="00706BA7"/>
    <w:rsid w:val="00723A7A"/>
    <w:rsid w:val="00730634"/>
    <w:rsid w:val="007333E7"/>
    <w:rsid w:val="00755AB2"/>
    <w:rsid w:val="00756738"/>
    <w:rsid w:val="00757EF8"/>
    <w:rsid w:val="007660D6"/>
    <w:rsid w:val="007679B1"/>
    <w:rsid w:val="00771BB3"/>
    <w:rsid w:val="0077292A"/>
    <w:rsid w:val="00774374"/>
    <w:rsid w:val="007774E2"/>
    <w:rsid w:val="00793E18"/>
    <w:rsid w:val="007A4EE3"/>
    <w:rsid w:val="007A5E57"/>
    <w:rsid w:val="007B776B"/>
    <w:rsid w:val="007B7BAC"/>
    <w:rsid w:val="007C3471"/>
    <w:rsid w:val="007D5C49"/>
    <w:rsid w:val="007E7EBF"/>
    <w:rsid w:val="007F1011"/>
    <w:rsid w:val="00800C65"/>
    <w:rsid w:val="00823D70"/>
    <w:rsid w:val="0082571A"/>
    <w:rsid w:val="00832EA7"/>
    <w:rsid w:val="0083604C"/>
    <w:rsid w:val="008403C9"/>
    <w:rsid w:val="00840FCF"/>
    <w:rsid w:val="00844642"/>
    <w:rsid w:val="00846AEC"/>
    <w:rsid w:val="00847A38"/>
    <w:rsid w:val="00847DE8"/>
    <w:rsid w:val="00851596"/>
    <w:rsid w:val="00851BD1"/>
    <w:rsid w:val="0085582E"/>
    <w:rsid w:val="0086254E"/>
    <w:rsid w:val="008723C1"/>
    <w:rsid w:val="00875A9D"/>
    <w:rsid w:val="00880B55"/>
    <w:rsid w:val="00884B36"/>
    <w:rsid w:val="008962B9"/>
    <w:rsid w:val="00897590"/>
    <w:rsid w:val="008A2517"/>
    <w:rsid w:val="008A33E3"/>
    <w:rsid w:val="008A3437"/>
    <w:rsid w:val="008A45F0"/>
    <w:rsid w:val="008C3F8D"/>
    <w:rsid w:val="008E7F99"/>
    <w:rsid w:val="008F1974"/>
    <w:rsid w:val="008F1B7E"/>
    <w:rsid w:val="008F5634"/>
    <w:rsid w:val="00902740"/>
    <w:rsid w:val="00911491"/>
    <w:rsid w:val="0091556E"/>
    <w:rsid w:val="00921745"/>
    <w:rsid w:val="00922F40"/>
    <w:rsid w:val="009255DB"/>
    <w:rsid w:val="00926F39"/>
    <w:rsid w:val="00933C11"/>
    <w:rsid w:val="00944AB9"/>
    <w:rsid w:val="0095387B"/>
    <w:rsid w:val="00962A37"/>
    <w:rsid w:val="009759B2"/>
    <w:rsid w:val="009776C0"/>
    <w:rsid w:val="009779CF"/>
    <w:rsid w:val="009907AE"/>
    <w:rsid w:val="00990C99"/>
    <w:rsid w:val="00991FDC"/>
    <w:rsid w:val="00993E5C"/>
    <w:rsid w:val="009951BD"/>
    <w:rsid w:val="009974B8"/>
    <w:rsid w:val="009A0D47"/>
    <w:rsid w:val="009A5021"/>
    <w:rsid w:val="009A7688"/>
    <w:rsid w:val="009B3538"/>
    <w:rsid w:val="009B75AC"/>
    <w:rsid w:val="009C67BB"/>
    <w:rsid w:val="009D0830"/>
    <w:rsid w:val="009D252C"/>
    <w:rsid w:val="009D3E34"/>
    <w:rsid w:val="009E5082"/>
    <w:rsid w:val="009E50E3"/>
    <w:rsid w:val="009E5B00"/>
    <w:rsid w:val="009F2F46"/>
    <w:rsid w:val="009F54BC"/>
    <w:rsid w:val="009F6CF8"/>
    <w:rsid w:val="00A04536"/>
    <w:rsid w:val="00A05116"/>
    <w:rsid w:val="00A13855"/>
    <w:rsid w:val="00A150B4"/>
    <w:rsid w:val="00A20D96"/>
    <w:rsid w:val="00A2104C"/>
    <w:rsid w:val="00A50A47"/>
    <w:rsid w:val="00A53A56"/>
    <w:rsid w:val="00A64C4E"/>
    <w:rsid w:val="00A719C0"/>
    <w:rsid w:val="00A7257A"/>
    <w:rsid w:val="00A73134"/>
    <w:rsid w:val="00A83303"/>
    <w:rsid w:val="00A85D21"/>
    <w:rsid w:val="00A913D8"/>
    <w:rsid w:val="00A9199F"/>
    <w:rsid w:val="00A95841"/>
    <w:rsid w:val="00AA2D5C"/>
    <w:rsid w:val="00AA341A"/>
    <w:rsid w:val="00AA556E"/>
    <w:rsid w:val="00AA5975"/>
    <w:rsid w:val="00AC7474"/>
    <w:rsid w:val="00AC772D"/>
    <w:rsid w:val="00AD03B7"/>
    <w:rsid w:val="00AD3421"/>
    <w:rsid w:val="00AD3F98"/>
    <w:rsid w:val="00AE68D7"/>
    <w:rsid w:val="00AE69C1"/>
    <w:rsid w:val="00AF32FD"/>
    <w:rsid w:val="00AF3611"/>
    <w:rsid w:val="00AF538F"/>
    <w:rsid w:val="00B0588B"/>
    <w:rsid w:val="00B0776B"/>
    <w:rsid w:val="00B07A36"/>
    <w:rsid w:val="00B128A7"/>
    <w:rsid w:val="00B24A01"/>
    <w:rsid w:val="00B27693"/>
    <w:rsid w:val="00B3149C"/>
    <w:rsid w:val="00B315F5"/>
    <w:rsid w:val="00B32271"/>
    <w:rsid w:val="00B35893"/>
    <w:rsid w:val="00B41F76"/>
    <w:rsid w:val="00B445C9"/>
    <w:rsid w:val="00B722A7"/>
    <w:rsid w:val="00B745FE"/>
    <w:rsid w:val="00B754B4"/>
    <w:rsid w:val="00B83B61"/>
    <w:rsid w:val="00B853B0"/>
    <w:rsid w:val="00B86779"/>
    <w:rsid w:val="00B91B74"/>
    <w:rsid w:val="00B95BE6"/>
    <w:rsid w:val="00B95E77"/>
    <w:rsid w:val="00BA0486"/>
    <w:rsid w:val="00BA1FF2"/>
    <w:rsid w:val="00BA2977"/>
    <w:rsid w:val="00BA6123"/>
    <w:rsid w:val="00BB0316"/>
    <w:rsid w:val="00BB1AD9"/>
    <w:rsid w:val="00BB2574"/>
    <w:rsid w:val="00BB42F8"/>
    <w:rsid w:val="00BB6006"/>
    <w:rsid w:val="00BB6388"/>
    <w:rsid w:val="00BC0CEA"/>
    <w:rsid w:val="00BC5163"/>
    <w:rsid w:val="00BD5E87"/>
    <w:rsid w:val="00BD6A62"/>
    <w:rsid w:val="00BD7923"/>
    <w:rsid w:val="00BE118F"/>
    <w:rsid w:val="00BE1D91"/>
    <w:rsid w:val="00BE45F6"/>
    <w:rsid w:val="00BE5296"/>
    <w:rsid w:val="00BF108C"/>
    <w:rsid w:val="00BF5483"/>
    <w:rsid w:val="00BF5749"/>
    <w:rsid w:val="00C00153"/>
    <w:rsid w:val="00C00C66"/>
    <w:rsid w:val="00C07D62"/>
    <w:rsid w:val="00C11D83"/>
    <w:rsid w:val="00C14076"/>
    <w:rsid w:val="00C17741"/>
    <w:rsid w:val="00C21C2E"/>
    <w:rsid w:val="00C2371E"/>
    <w:rsid w:val="00C244F2"/>
    <w:rsid w:val="00C247D1"/>
    <w:rsid w:val="00C258AE"/>
    <w:rsid w:val="00C3287D"/>
    <w:rsid w:val="00C40E09"/>
    <w:rsid w:val="00C4126D"/>
    <w:rsid w:val="00C44AEB"/>
    <w:rsid w:val="00C4534A"/>
    <w:rsid w:val="00C642FD"/>
    <w:rsid w:val="00C75610"/>
    <w:rsid w:val="00C7658F"/>
    <w:rsid w:val="00C84EDE"/>
    <w:rsid w:val="00C85F43"/>
    <w:rsid w:val="00C86144"/>
    <w:rsid w:val="00C92E63"/>
    <w:rsid w:val="00CA26FD"/>
    <w:rsid w:val="00CA3258"/>
    <w:rsid w:val="00CA5862"/>
    <w:rsid w:val="00CB2FE2"/>
    <w:rsid w:val="00CC07EA"/>
    <w:rsid w:val="00CD1E82"/>
    <w:rsid w:val="00CE04D3"/>
    <w:rsid w:val="00CE5644"/>
    <w:rsid w:val="00CF7C56"/>
    <w:rsid w:val="00D05442"/>
    <w:rsid w:val="00D05AB0"/>
    <w:rsid w:val="00D10F85"/>
    <w:rsid w:val="00D13B03"/>
    <w:rsid w:val="00D30F98"/>
    <w:rsid w:val="00D32A54"/>
    <w:rsid w:val="00D34580"/>
    <w:rsid w:val="00D35C14"/>
    <w:rsid w:val="00D3686D"/>
    <w:rsid w:val="00D40153"/>
    <w:rsid w:val="00D41D69"/>
    <w:rsid w:val="00D42EB6"/>
    <w:rsid w:val="00D66E10"/>
    <w:rsid w:val="00D6798F"/>
    <w:rsid w:val="00D77801"/>
    <w:rsid w:val="00D85BB8"/>
    <w:rsid w:val="00D91CBC"/>
    <w:rsid w:val="00D92B2D"/>
    <w:rsid w:val="00D95929"/>
    <w:rsid w:val="00DA427A"/>
    <w:rsid w:val="00DB1ACF"/>
    <w:rsid w:val="00DB1EF1"/>
    <w:rsid w:val="00DB257D"/>
    <w:rsid w:val="00DB2828"/>
    <w:rsid w:val="00DB31CF"/>
    <w:rsid w:val="00DB3B19"/>
    <w:rsid w:val="00DC2426"/>
    <w:rsid w:val="00DC6FD3"/>
    <w:rsid w:val="00DD4D29"/>
    <w:rsid w:val="00DE2E1F"/>
    <w:rsid w:val="00DE5EAD"/>
    <w:rsid w:val="00DF2EB3"/>
    <w:rsid w:val="00DF3EEE"/>
    <w:rsid w:val="00DF501F"/>
    <w:rsid w:val="00DF593E"/>
    <w:rsid w:val="00DF5F5F"/>
    <w:rsid w:val="00DF6065"/>
    <w:rsid w:val="00DF6780"/>
    <w:rsid w:val="00E05178"/>
    <w:rsid w:val="00E05B8A"/>
    <w:rsid w:val="00E20FB2"/>
    <w:rsid w:val="00E2170D"/>
    <w:rsid w:val="00E25595"/>
    <w:rsid w:val="00E257EF"/>
    <w:rsid w:val="00E26507"/>
    <w:rsid w:val="00E319BE"/>
    <w:rsid w:val="00E53813"/>
    <w:rsid w:val="00E53B76"/>
    <w:rsid w:val="00E66863"/>
    <w:rsid w:val="00E67E4E"/>
    <w:rsid w:val="00E7191C"/>
    <w:rsid w:val="00E74C18"/>
    <w:rsid w:val="00E77C77"/>
    <w:rsid w:val="00E80401"/>
    <w:rsid w:val="00E8047E"/>
    <w:rsid w:val="00E809BE"/>
    <w:rsid w:val="00E850BD"/>
    <w:rsid w:val="00E87CBF"/>
    <w:rsid w:val="00E927DB"/>
    <w:rsid w:val="00E92DD4"/>
    <w:rsid w:val="00E975C6"/>
    <w:rsid w:val="00EA6939"/>
    <w:rsid w:val="00EA695E"/>
    <w:rsid w:val="00EB00F8"/>
    <w:rsid w:val="00EB5BBF"/>
    <w:rsid w:val="00ED76E7"/>
    <w:rsid w:val="00EE0949"/>
    <w:rsid w:val="00EE5BC1"/>
    <w:rsid w:val="00EE69D1"/>
    <w:rsid w:val="00EF2A68"/>
    <w:rsid w:val="00EF6EF8"/>
    <w:rsid w:val="00F06937"/>
    <w:rsid w:val="00F079FB"/>
    <w:rsid w:val="00F13290"/>
    <w:rsid w:val="00F17447"/>
    <w:rsid w:val="00F2762B"/>
    <w:rsid w:val="00F379CE"/>
    <w:rsid w:val="00F40693"/>
    <w:rsid w:val="00F41773"/>
    <w:rsid w:val="00F42EFC"/>
    <w:rsid w:val="00F527C2"/>
    <w:rsid w:val="00F5432C"/>
    <w:rsid w:val="00F55A4C"/>
    <w:rsid w:val="00F57643"/>
    <w:rsid w:val="00F6177B"/>
    <w:rsid w:val="00F61DA4"/>
    <w:rsid w:val="00F669FC"/>
    <w:rsid w:val="00F679DC"/>
    <w:rsid w:val="00F82405"/>
    <w:rsid w:val="00F9097C"/>
    <w:rsid w:val="00F93389"/>
    <w:rsid w:val="00F96BD2"/>
    <w:rsid w:val="00FA0324"/>
    <w:rsid w:val="00FA3ED9"/>
    <w:rsid w:val="00FA5BBE"/>
    <w:rsid w:val="00FB230E"/>
    <w:rsid w:val="00FB751B"/>
    <w:rsid w:val="00FC03B2"/>
    <w:rsid w:val="00FC1F14"/>
    <w:rsid w:val="00FE2EDA"/>
    <w:rsid w:val="00FE5802"/>
    <w:rsid w:val="00FE6D75"/>
    <w:rsid w:val="00FF37DD"/>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Normal"/>
    <w:qFormat/>
    <w:pPr>
      <w:keepNext/>
      <w:numPr>
        <w:numId w:val="1"/>
      </w:numPr>
      <w:overflowPunct w:val="0"/>
      <w:autoSpaceDE w:val="0"/>
      <w:autoSpaceDN w:val="0"/>
      <w:adjustRightInd w:val="0"/>
      <w:textAlignment w:val="baseline"/>
      <w:outlineLvl w:val="0"/>
    </w:pPr>
    <w:rPr>
      <w:b/>
      <w:bCs/>
      <w:szCs w:val="22"/>
      <w:lang w:val="en-GB"/>
    </w:rPr>
  </w:style>
  <w:style w:type="paragraph" w:styleId="Heading2">
    <w:name w:val="heading 2"/>
    <w:aliases w:val="Reset numbering,Major,PARA2,Clause,ParaLvl2,Numbered - 2,Sub-paragraph,Major heading,SPara,L2"/>
    <w:basedOn w:val="Normal"/>
    <w:next w:val="Normal"/>
    <w:qFormat/>
    <w:rsid w:val="00565901"/>
    <w:pPr>
      <w:keepNext/>
      <w:numPr>
        <w:ilvl w:val="1"/>
        <w:numId w:val="1"/>
      </w:numPr>
      <w:jc w:val="both"/>
      <w:outlineLvl w:val="1"/>
    </w:pPr>
    <w:rPr>
      <w:rFonts w:eastAsia="Arial"/>
      <w:b/>
      <w:bCs/>
      <w:kern w:val="32"/>
      <w:lang w:eastAsia="en-GB"/>
    </w:rPr>
  </w:style>
  <w:style w:type="paragraph" w:styleId="Heading3">
    <w:name w:val="heading 3"/>
    <w:basedOn w:val="Normal"/>
    <w:next w:val="Normal"/>
    <w:link w:val="Heading3Char"/>
    <w:qFormat/>
    <w:rsid w:val="0095387B"/>
    <w:pPr>
      <w:keepNext/>
      <w:numPr>
        <w:ilvl w:val="2"/>
        <w:numId w:val="1"/>
      </w:numPr>
      <w:jc w:val="both"/>
      <w:outlineLvl w:val="2"/>
    </w:pPr>
    <w:rPr>
      <w:b/>
      <w:bCs/>
      <w:szCs w:val="22"/>
      <w:lang w:val="en-GB"/>
    </w:rPr>
  </w:style>
  <w:style w:type="paragraph" w:styleId="Heading4">
    <w:name w:val="heading 4"/>
    <w:basedOn w:val="Normal"/>
    <w:next w:val="Normal"/>
    <w:qFormat/>
    <w:pPr>
      <w:keepNext/>
      <w:numPr>
        <w:ilvl w:val="3"/>
        <w:numId w:val="1"/>
      </w:numPr>
      <w:jc w:val="center"/>
      <w:outlineLvl w:val="3"/>
    </w:pPr>
    <w:rPr>
      <w:b/>
      <w:bCs/>
      <w:sz w:val="28"/>
      <w:szCs w:val="28"/>
    </w:rPr>
  </w:style>
  <w:style w:type="paragraph" w:styleId="Heading5">
    <w:name w:val="heading 5"/>
    <w:basedOn w:val="Normal"/>
    <w:next w:val="Normal"/>
    <w:qFormat/>
    <w:pPr>
      <w:keepNext/>
      <w:numPr>
        <w:ilvl w:val="4"/>
        <w:numId w:val="1"/>
      </w:numPr>
      <w:tabs>
        <w:tab w:val="left" w:pos="900"/>
      </w:tabs>
      <w:jc w:val="both"/>
      <w:outlineLvl w:val="4"/>
    </w:pPr>
    <w:rPr>
      <w:b/>
      <w:bCs/>
    </w:rPr>
  </w:style>
  <w:style w:type="paragraph" w:styleId="Heading9">
    <w:name w:val="heading 9"/>
    <w:basedOn w:val="Normal"/>
    <w:next w:val="Normal"/>
    <w:link w:val="Heading9Char"/>
    <w:qFormat/>
    <w:rsid w:val="00CB2FE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Cs w:val="22"/>
      <w:lang w:val="en-GB"/>
    </w:rPr>
  </w:style>
  <w:style w:type="paragraph" w:styleId="BodyTextIndent">
    <w:name w:val="Body Text Indent"/>
    <w:basedOn w:val="Normal"/>
    <w:pPr>
      <w:numPr>
        <w:ilvl w:val="12"/>
      </w:numPr>
      <w:tabs>
        <w:tab w:val="left" w:pos="720"/>
        <w:tab w:val="left" w:pos="900"/>
      </w:tabs>
      <w:ind w:left="720"/>
    </w:pPr>
  </w:style>
  <w:style w:type="paragraph" w:styleId="BodyTextIndent2">
    <w:name w:val="Body Text Indent 2"/>
    <w:basedOn w:val="Normal"/>
    <w:pPr>
      <w:numPr>
        <w:ilvl w:val="12"/>
      </w:numPr>
      <w:ind w:left="720" w:hanging="720"/>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44"/>
      <w:szCs w:val="28"/>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tyle1">
    <w:name w:val="Style1"/>
    <w:basedOn w:val="Normal"/>
    <w:rPr>
      <w:rFonts w:cs="Arial"/>
      <w:szCs w:val="24"/>
      <w:lang w:val="en-GB"/>
    </w:rPr>
  </w:style>
  <w:style w:type="paragraph" w:customStyle="1" w:styleId="Style2">
    <w:name w:val="Style2"/>
    <w:basedOn w:val="Header"/>
    <w:pPr>
      <w:jc w:val="right"/>
    </w:pPr>
  </w:style>
  <w:style w:type="paragraph" w:styleId="BalloonText">
    <w:name w:val="Balloon Text"/>
    <w:basedOn w:val="Normal"/>
    <w:link w:val="BalloonTextChar"/>
    <w:rsid w:val="00067A41"/>
    <w:rPr>
      <w:rFonts w:ascii="Tahoma" w:hAnsi="Tahoma" w:cs="Tahoma"/>
      <w:sz w:val="16"/>
      <w:szCs w:val="16"/>
    </w:rPr>
  </w:style>
  <w:style w:type="character" w:customStyle="1" w:styleId="BalloonTextChar">
    <w:name w:val="Balloon Text Char"/>
    <w:link w:val="BalloonText"/>
    <w:rsid w:val="00067A41"/>
    <w:rPr>
      <w:rFonts w:ascii="Tahoma" w:hAnsi="Tahoma" w:cs="Tahoma"/>
      <w:sz w:val="16"/>
      <w:szCs w:val="16"/>
      <w:lang w:val="en-US" w:eastAsia="en-US"/>
    </w:rPr>
  </w:style>
  <w:style w:type="paragraph" w:styleId="NoSpacing">
    <w:name w:val="No Spacing"/>
    <w:uiPriority w:val="1"/>
    <w:qFormat/>
    <w:rsid w:val="0025158C"/>
    <w:rPr>
      <w:rFonts w:ascii="Arial" w:hAnsi="Arial"/>
      <w:sz w:val="22"/>
      <w:lang w:val="en-US" w:eastAsia="en-US"/>
    </w:rPr>
  </w:style>
  <w:style w:type="character" w:styleId="Strong">
    <w:name w:val="Strong"/>
    <w:uiPriority w:val="22"/>
    <w:qFormat/>
    <w:rsid w:val="00BB42F8"/>
    <w:rPr>
      <w:b/>
      <w:bCs/>
    </w:rPr>
  </w:style>
  <w:style w:type="paragraph" w:styleId="FootnoteText">
    <w:name w:val="footnote text"/>
    <w:basedOn w:val="Normal"/>
    <w:link w:val="FootnoteTextChar"/>
    <w:rsid w:val="00BB1AD9"/>
    <w:rPr>
      <w:sz w:val="20"/>
    </w:rPr>
  </w:style>
  <w:style w:type="character" w:customStyle="1" w:styleId="FootnoteTextChar">
    <w:name w:val="Footnote Text Char"/>
    <w:link w:val="FootnoteText"/>
    <w:rsid w:val="00BB1AD9"/>
    <w:rPr>
      <w:rFonts w:ascii="Arial" w:hAnsi="Arial"/>
      <w:lang w:val="en-US" w:eastAsia="en-US"/>
    </w:rPr>
  </w:style>
  <w:style w:type="character" w:styleId="FootnoteReference">
    <w:name w:val="footnote reference"/>
    <w:rsid w:val="00BB1AD9"/>
    <w:rPr>
      <w:vertAlign w:val="superscript"/>
    </w:rPr>
  </w:style>
  <w:style w:type="character" w:styleId="FollowedHyperlink">
    <w:name w:val="FollowedHyperlink"/>
    <w:rsid w:val="00BB1AD9"/>
    <w:rPr>
      <w:color w:val="800080"/>
      <w:u w:val="single"/>
    </w:rPr>
  </w:style>
  <w:style w:type="character" w:styleId="CommentReference">
    <w:name w:val="annotation reference"/>
    <w:rsid w:val="00CA3258"/>
    <w:rPr>
      <w:sz w:val="16"/>
      <w:szCs w:val="16"/>
    </w:rPr>
  </w:style>
  <w:style w:type="paragraph" w:styleId="CommentText">
    <w:name w:val="annotation text"/>
    <w:basedOn w:val="Normal"/>
    <w:link w:val="CommentTextChar"/>
    <w:rsid w:val="00CA3258"/>
    <w:rPr>
      <w:sz w:val="20"/>
    </w:rPr>
  </w:style>
  <w:style w:type="character" w:customStyle="1" w:styleId="CommentTextChar">
    <w:name w:val="Comment Text Char"/>
    <w:link w:val="CommentText"/>
    <w:rsid w:val="00CA3258"/>
    <w:rPr>
      <w:rFonts w:ascii="Arial" w:hAnsi="Arial"/>
      <w:lang w:val="en-US" w:eastAsia="en-US"/>
    </w:rPr>
  </w:style>
  <w:style w:type="paragraph" w:styleId="CommentSubject">
    <w:name w:val="annotation subject"/>
    <w:basedOn w:val="CommentText"/>
    <w:next w:val="CommentText"/>
    <w:link w:val="CommentSubjectChar"/>
    <w:uiPriority w:val="99"/>
    <w:rsid w:val="00CA3258"/>
    <w:rPr>
      <w:b/>
      <w:bCs/>
    </w:rPr>
  </w:style>
  <w:style w:type="character" w:customStyle="1" w:styleId="CommentSubjectChar">
    <w:name w:val="Comment Subject Char"/>
    <w:link w:val="CommentSubject"/>
    <w:uiPriority w:val="99"/>
    <w:rsid w:val="00CA3258"/>
    <w:rPr>
      <w:rFonts w:ascii="Arial" w:hAnsi="Arial"/>
      <w:b/>
      <w:bCs/>
      <w:lang w:val="en-US" w:eastAsia="en-US"/>
    </w:rPr>
  </w:style>
  <w:style w:type="paragraph" w:styleId="TOC1">
    <w:name w:val="toc 1"/>
    <w:basedOn w:val="Normal"/>
    <w:next w:val="Normal"/>
    <w:autoRedefine/>
    <w:uiPriority w:val="39"/>
    <w:rsid w:val="00D05442"/>
  </w:style>
  <w:style w:type="paragraph" w:styleId="TOC2">
    <w:name w:val="toc 2"/>
    <w:basedOn w:val="Normal"/>
    <w:next w:val="Normal"/>
    <w:autoRedefine/>
    <w:uiPriority w:val="39"/>
    <w:rsid w:val="00C7658F"/>
    <w:pPr>
      <w:tabs>
        <w:tab w:val="left" w:pos="880"/>
        <w:tab w:val="right" w:leader="dot" w:pos="9019"/>
      </w:tabs>
      <w:spacing w:line="360" w:lineRule="auto"/>
      <w:ind w:left="221"/>
    </w:pPr>
  </w:style>
  <w:style w:type="table" w:styleId="TableGrid">
    <w:name w:val="Table Grid"/>
    <w:basedOn w:val="TableNormal"/>
    <w:rsid w:val="00F42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5387B"/>
    <w:pPr>
      <w:ind w:left="720"/>
    </w:pPr>
  </w:style>
  <w:style w:type="character" w:customStyle="1" w:styleId="Heading3Char">
    <w:name w:val="Heading 3 Char"/>
    <w:link w:val="Heading3"/>
    <w:rsid w:val="00230698"/>
    <w:rPr>
      <w:rFonts w:ascii="Arial" w:hAnsi="Arial"/>
      <w:b/>
      <w:bCs/>
      <w:sz w:val="22"/>
      <w:szCs w:val="22"/>
      <w:lang w:eastAsia="en-US"/>
    </w:rPr>
  </w:style>
  <w:style w:type="character" w:customStyle="1" w:styleId="Heading9Char">
    <w:name w:val="Heading 9 Char"/>
    <w:link w:val="Heading9"/>
    <w:semiHidden/>
    <w:rsid w:val="00CB2FE2"/>
    <w:rPr>
      <w:rFonts w:ascii="Cambria" w:eastAsia="Times New Roman" w:hAnsi="Cambria" w:cs="Times New Roman"/>
      <w:sz w:val="22"/>
      <w:szCs w:val="22"/>
      <w:lang w:val="en-US" w:eastAsia="en-US"/>
    </w:rPr>
  </w:style>
  <w:style w:type="paragraph" w:styleId="Title">
    <w:name w:val="Title"/>
    <w:basedOn w:val="Normal"/>
    <w:link w:val="TitleChar"/>
    <w:qFormat/>
    <w:rsid w:val="00CB2FE2"/>
    <w:pPr>
      <w:jc w:val="center"/>
    </w:pPr>
    <w:rPr>
      <w:rFonts w:ascii="Times New Roman" w:hAnsi="Times New Roman"/>
      <w:b/>
      <w:bCs/>
      <w:sz w:val="24"/>
      <w:szCs w:val="24"/>
      <w:lang w:val="en-GB"/>
    </w:rPr>
  </w:style>
  <w:style w:type="character" w:customStyle="1" w:styleId="TitleChar">
    <w:name w:val="Title Char"/>
    <w:link w:val="Title"/>
    <w:rsid w:val="00CB2FE2"/>
    <w:rPr>
      <w:b/>
      <w:bCs/>
      <w:sz w:val="24"/>
      <w:szCs w:val="24"/>
      <w:lang w:eastAsia="en-US"/>
    </w:rPr>
  </w:style>
  <w:style w:type="paragraph" w:styleId="Subtitle">
    <w:name w:val="Subtitle"/>
    <w:basedOn w:val="Normal"/>
    <w:link w:val="SubtitleChar"/>
    <w:qFormat/>
    <w:rsid w:val="00CB2FE2"/>
    <w:rPr>
      <w:rFonts w:cs="Arial"/>
      <w:b/>
      <w:bCs/>
      <w:sz w:val="20"/>
      <w:szCs w:val="24"/>
      <w:lang w:val="en-GB"/>
    </w:rPr>
  </w:style>
  <w:style w:type="character" w:customStyle="1" w:styleId="SubtitleChar">
    <w:name w:val="Subtitle Char"/>
    <w:link w:val="Subtitle"/>
    <w:rsid w:val="00CB2FE2"/>
    <w:rPr>
      <w:rFonts w:ascii="Arial" w:hAnsi="Arial" w:cs="Arial"/>
      <w:b/>
      <w:bCs/>
      <w:szCs w:val="24"/>
      <w:lang w:eastAsia="en-US"/>
    </w:rPr>
  </w:style>
  <w:style w:type="paragraph" w:styleId="BodyText2">
    <w:name w:val="Body Text 2"/>
    <w:basedOn w:val="Normal"/>
    <w:link w:val="BodyText2Char"/>
    <w:rsid w:val="00EA695E"/>
    <w:pPr>
      <w:spacing w:after="120" w:line="480" w:lineRule="auto"/>
    </w:pPr>
  </w:style>
  <w:style w:type="character" w:customStyle="1" w:styleId="BodyText2Char">
    <w:name w:val="Body Text 2 Char"/>
    <w:link w:val="BodyText2"/>
    <w:rsid w:val="00EA695E"/>
    <w:rPr>
      <w:rFonts w:ascii="Arial" w:hAnsi="Arial"/>
      <w:sz w:val="22"/>
      <w:lang w:val="en-US" w:eastAsia="en-US"/>
    </w:rPr>
  </w:style>
  <w:style w:type="character" w:customStyle="1" w:styleId="FooterChar">
    <w:name w:val="Footer Char"/>
    <w:link w:val="Footer"/>
    <w:uiPriority w:val="99"/>
    <w:rsid w:val="00B315F5"/>
    <w:rPr>
      <w:rFonts w:ascii="Arial" w:hAnsi="Arial"/>
      <w:sz w:val="22"/>
      <w:lang w:val="en-US" w:eastAsia="en-US"/>
    </w:rPr>
  </w:style>
  <w:style w:type="paragraph" w:customStyle="1" w:styleId="Normal1">
    <w:name w:val="Normal1"/>
    <w:basedOn w:val="Normal"/>
    <w:rsid w:val="00B315F5"/>
    <w:rPr>
      <w:rFonts w:ascii="Times New Roman" w:hAnsi="Times New Roman"/>
      <w:sz w:val="24"/>
      <w:szCs w:val="24"/>
      <w:lang w:val="en-GB" w:eastAsia="en-GB"/>
    </w:rPr>
  </w:style>
  <w:style w:type="character" w:customStyle="1" w:styleId="normalchar1">
    <w:name w:val="normal__char1"/>
    <w:rsid w:val="00B315F5"/>
    <w:rPr>
      <w:rFonts w:ascii="Times New Roman" w:hAnsi="Times New Roman" w:cs="Times New Roman" w:hint="default"/>
      <w:strike w:val="0"/>
      <w:dstrike w:val="0"/>
      <w:sz w:val="24"/>
      <w:szCs w:val="24"/>
      <w:u w:val="none"/>
      <w:effect w:val="none"/>
    </w:rPr>
  </w:style>
  <w:style w:type="paragraph" w:styleId="NormalWeb">
    <w:name w:val="Normal (Web)"/>
    <w:basedOn w:val="Normal"/>
    <w:rsid w:val="00B35893"/>
    <w:pPr>
      <w:spacing w:before="100" w:beforeAutospacing="1" w:after="100" w:afterAutospacing="1"/>
    </w:pPr>
    <w:rPr>
      <w:rFonts w:ascii="Verdana" w:hAnsi="Verdana"/>
      <w:color w:val="000000"/>
      <w:szCs w:val="22"/>
      <w:lang w:val="en-GB" w:eastAsia="en-GB"/>
    </w:rPr>
  </w:style>
  <w:style w:type="paragraph" w:styleId="TOCHeading">
    <w:name w:val="TOC Heading"/>
    <w:basedOn w:val="Heading1"/>
    <w:next w:val="Normal"/>
    <w:uiPriority w:val="39"/>
    <w:semiHidden/>
    <w:unhideWhenUsed/>
    <w:qFormat/>
    <w:rsid w:val="00B853B0"/>
    <w:pPr>
      <w:keepLines/>
      <w:numPr>
        <w:numId w:val="0"/>
      </w:numPr>
      <w:overflowPunct/>
      <w:autoSpaceDE/>
      <w:autoSpaceDN/>
      <w:adjustRightInd/>
      <w:spacing w:before="480" w:line="276" w:lineRule="auto"/>
      <w:textAlignment w:val="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B853B0"/>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Normal"/>
    <w:qFormat/>
    <w:pPr>
      <w:keepNext/>
      <w:numPr>
        <w:numId w:val="1"/>
      </w:numPr>
      <w:overflowPunct w:val="0"/>
      <w:autoSpaceDE w:val="0"/>
      <w:autoSpaceDN w:val="0"/>
      <w:adjustRightInd w:val="0"/>
      <w:textAlignment w:val="baseline"/>
      <w:outlineLvl w:val="0"/>
    </w:pPr>
    <w:rPr>
      <w:b/>
      <w:bCs/>
      <w:szCs w:val="22"/>
      <w:lang w:val="en-GB"/>
    </w:rPr>
  </w:style>
  <w:style w:type="paragraph" w:styleId="Heading2">
    <w:name w:val="heading 2"/>
    <w:aliases w:val="Reset numbering,Major,PARA2,Clause,ParaLvl2,Numbered - 2,Sub-paragraph,Major heading,SPara,L2"/>
    <w:basedOn w:val="Normal"/>
    <w:next w:val="Normal"/>
    <w:qFormat/>
    <w:rsid w:val="00565901"/>
    <w:pPr>
      <w:keepNext/>
      <w:numPr>
        <w:ilvl w:val="1"/>
        <w:numId w:val="1"/>
      </w:numPr>
      <w:jc w:val="both"/>
      <w:outlineLvl w:val="1"/>
    </w:pPr>
    <w:rPr>
      <w:rFonts w:eastAsia="Arial"/>
      <w:b/>
      <w:bCs/>
      <w:kern w:val="32"/>
      <w:lang w:eastAsia="en-GB"/>
    </w:rPr>
  </w:style>
  <w:style w:type="paragraph" w:styleId="Heading3">
    <w:name w:val="heading 3"/>
    <w:basedOn w:val="Normal"/>
    <w:next w:val="Normal"/>
    <w:link w:val="Heading3Char"/>
    <w:qFormat/>
    <w:rsid w:val="0095387B"/>
    <w:pPr>
      <w:keepNext/>
      <w:numPr>
        <w:ilvl w:val="2"/>
        <w:numId w:val="1"/>
      </w:numPr>
      <w:jc w:val="both"/>
      <w:outlineLvl w:val="2"/>
    </w:pPr>
    <w:rPr>
      <w:b/>
      <w:bCs/>
      <w:szCs w:val="22"/>
      <w:lang w:val="en-GB"/>
    </w:rPr>
  </w:style>
  <w:style w:type="paragraph" w:styleId="Heading4">
    <w:name w:val="heading 4"/>
    <w:basedOn w:val="Normal"/>
    <w:next w:val="Normal"/>
    <w:qFormat/>
    <w:pPr>
      <w:keepNext/>
      <w:numPr>
        <w:ilvl w:val="3"/>
        <w:numId w:val="1"/>
      </w:numPr>
      <w:jc w:val="center"/>
      <w:outlineLvl w:val="3"/>
    </w:pPr>
    <w:rPr>
      <w:b/>
      <w:bCs/>
      <w:sz w:val="28"/>
      <w:szCs w:val="28"/>
    </w:rPr>
  </w:style>
  <w:style w:type="paragraph" w:styleId="Heading5">
    <w:name w:val="heading 5"/>
    <w:basedOn w:val="Normal"/>
    <w:next w:val="Normal"/>
    <w:qFormat/>
    <w:pPr>
      <w:keepNext/>
      <w:numPr>
        <w:ilvl w:val="4"/>
        <w:numId w:val="1"/>
      </w:numPr>
      <w:tabs>
        <w:tab w:val="left" w:pos="900"/>
      </w:tabs>
      <w:jc w:val="both"/>
      <w:outlineLvl w:val="4"/>
    </w:pPr>
    <w:rPr>
      <w:b/>
      <w:bCs/>
    </w:rPr>
  </w:style>
  <w:style w:type="paragraph" w:styleId="Heading9">
    <w:name w:val="heading 9"/>
    <w:basedOn w:val="Normal"/>
    <w:next w:val="Normal"/>
    <w:link w:val="Heading9Char"/>
    <w:qFormat/>
    <w:rsid w:val="00CB2FE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Cs w:val="22"/>
      <w:lang w:val="en-GB"/>
    </w:rPr>
  </w:style>
  <w:style w:type="paragraph" w:styleId="BodyTextIndent">
    <w:name w:val="Body Text Indent"/>
    <w:basedOn w:val="Normal"/>
    <w:pPr>
      <w:numPr>
        <w:ilvl w:val="12"/>
      </w:numPr>
      <w:tabs>
        <w:tab w:val="left" w:pos="720"/>
        <w:tab w:val="left" w:pos="900"/>
      </w:tabs>
      <w:ind w:left="720"/>
    </w:pPr>
  </w:style>
  <w:style w:type="paragraph" w:styleId="BodyTextIndent2">
    <w:name w:val="Body Text Indent 2"/>
    <w:basedOn w:val="Normal"/>
    <w:pPr>
      <w:numPr>
        <w:ilvl w:val="12"/>
      </w:numPr>
      <w:ind w:left="720" w:hanging="720"/>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44"/>
      <w:szCs w:val="28"/>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tyle1">
    <w:name w:val="Style1"/>
    <w:basedOn w:val="Normal"/>
    <w:rPr>
      <w:rFonts w:cs="Arial"/>
      <w:szCs w:val="24"/>
      <w:lang w:val="en-GB"/>
    </w:rPr>
  </w:style>
  <w:style w:type="paragraph" w:customStyle="1" w:styleId="Style2">
    <w:name w:val="Style2"/>
    <w:basedOn w:val="Header"/>
    <w:pPr>
      <w:jc w:val="right"/>
    </w:pPr>
  </w:style>
  <w:style w:type="paragraph" w:styleId="BalloonText">
    <w:name w:val="Balloon Text"/>
    <w:basedOn w:val="Normal"/>
    <w:link w:val="BalloonTextChar"/>
    <w:rsid w:val="00067A41"/>
    <w:rPr>
      <w:rFonts w:ascii="Tahoma" w:hAnsi="Tahoma" w:cs="Tahoma"/>
      <w:sz w:val="16"/>
      <w:szCs w:val="16"/>
    </w:rPr>
  </w:style>
  <w:style w:type="character" w:customStyle="1" w:styleId="BalloonTextChar">
    <w:name w:val="Balloon Text Char"/>
    <w:link w:val="BalloonText"/>
    <w:rsid w:val="00067A41"/>
    <w:rPr>
      <w:rFonts w:ascii="Tahoma" w:hAnsi="Tahoma" w:cs="Tahoma"/>
      <w:sz w:val="16"/>
      <w:szCs w:val="16"/>
      <w:lang w:val="en-US" w:eastAsia="en-US"/>
    </w:rPr>
  </w:style>
  <w:style w:type="paragraph" w:styleId="NoSpacing">
    <w:name w:val="No Spacing"/>
    <w:uiPriority w:val="1"/>
    <w:qFormat/>
    <w:rsid w:val="0025158C"/>
    <w:rPr>
      <w:rFonts w:ascii="Arial" w:hAnsi="Arial"/>
      <w:sz w:val="22"/>
      <w:lang w:val="en-US" w:eastAsia="en-US"/>
    </w:rPr>
  </w:style>
  <w:style w:type="character" w:styleId="Strong">
    <w:name w:val="Strong"/>
    <w:uiPriority w:val="22"/>
    <w:qFormat/>
    <w:rsid w:val="00BB42F8"/>
    <w:rPr>
      <w:b/>
      <w:bCs/>
    </w:rPr>
  </w:style>
  <w:style w:type="paragraph" w:styleId="FootnoteText">
    <w:name w:val="footnote text"/>
    <w:basedOn w:val="Normal"/>
    <w:link w:val="FootnoteTextChar"/>
    <w:rsid w:val="00BB1AD9"/>
    <w:rPr>
      <w:sz w:val="20"/>
    </w:rPr>
  </w:style>
  <w:style w:type="character" w:customStyle="1" w:styleId="FootnoteTextChar">
    <w:name w:val="Footnote Text Char"/>
    <w:link w:val="FootnoteText"/>
    <w:rsid w:val="00BB1AD9"/>
    <w:rPr>
      <w:rFonts w:ascii="Arial" w:hAnsi="Arial"/>
      <w:lang w:val="en-US" w:eastAsia="en-US"/>
    </w:rPr>
  </w:style>
  <w:style w:type="character" w:styleId="FootnoteReference">
    <w:name w:val="footnote reference"/>
    <w:rsid w:val="00BB1AD9"/>
    <w:rPr>
      <w:vertAlign w:val="superscript"/>
    </w:rPr>
  </w:style>
  <w:style w:type="character" w:styleId="FollowedHyperlink">
    <w:name w:val="FollowedHyperlink"/>
    <w:rsid w:val="00BB1AD9"/>
    <w:rPr>
      <w:color w:val="800080"/>
      <w:u w:val="single"/>
    </w:rPr>
  </w:style>
  <w:style w:type="character" w:styleId="CommentReference">
    <w:name w:val="annotation reference"/>
    <w:rsid w:val="00CA3258"/>
    <w:rPr>
      <w:sz w:val="16"/>
      <w:szCs w:val="16"/>
    </w:rPr>
  </w:style>
  <w:style w:type="paragraph" w:styleId="CommentText">
    <w:name w:val="annotation text"/>
    <w:basedOn w:val="Normal"/>
    <w:link w:val="CommentTextChar"/>
    <w:rsid w:val="00CA3258"/>
    <w:rPr>
      <w:sz w:val="20"/>
    </w:rPr>
  </w:style>
  <w:style w:type="character" w:customStyle="1" w:styleId="CommentTextChar">
    <w:name w:val="Comment Text Char"/>
    <w:link w:val="CommentText"/>
    <w:rsid w:val="00CA3258"/>
    <w:rPr>
      <w:rFonts w:ascii="Arial" w:hAnsi="Arial"/>
      <w:lang w:val="en-US" w:eastAsia="en-US"/>
    </w:rPr>
  </w:style>
  <w:style w:type="paragraph" w:styleId="CommentSubject">
    <w:name w:val="annotation subject"/>
    <w:basedOn w:val="CommentText"/>
    <w:next w:val="CommentText"/>
    <w:link w:val="CommentSubjectChar"/>
    <w:uiPriority w:val="99"/>
    <w:rsid w:val="00CA3258"/>
    <w:rPr>
      <w:b/>
      <w:bCs/>
    </w:rPr>
  </w:style>
  <w:style w:type="character" w:customStyle="1" w:styleId="CommentSubjectChar">
    <w:name w:val="Comment Subject Char"/>
    <w:link w:val="CommentSubject"/>
    <w:uiPriority w:val="99"/>
    <w:rsid w:val="00CA3258"/>
    <w:rPr>
      <w:rFonts w:ascii="Arial" w:hAnsi="Arial"/>
      <w:b/>
      <w:bCs/>
      <w:lang w:val="en-US" w:eastAsia="en-US"/>
    </w:rPr>
  </w:style>
  <w:style w:type="paragraph" w:styleId="TOC1">
    <w:name w:val="toc 1"/>
    <w:basedOn w:val="Normal"/>
    <w:next w:val="Normal"/>
    <w:autoRedefine/>
    <w:uiPriority w:val="39"/>
    <w:rsid w:val="00D05442"/>
  </w:style>
  <w:style w:type="paragraph" w:styleId="TOC2">
    <w:name w:val="toc 2"/>
    <w:basedOn w:val="Normal"/>
    <w:next w:val="Normal"/>
    <w:autoRedefine/>
    <w:uiPriority w:val="39"/>
    <w:rsid w:val="00C7658F"/>
    <w:pPr>
      <w:tabs>
        <w:tab w:val="left" w:pos="880"/>
        <w:tab w:val="right" w:leader="dot" w:pos="9019"/>
      </w:tabs>
      <w:spacing w:line="360" w:lineRule="auto"/>
      <w:ind w:left="221"/>
    </w:pPr>
  </w:style>
  <w:style w:type="table" w:styleId="TableGrid">
    <w:name w:val="Table Grid"/>
    <w:basedOn w:val="TableNormal"/>
    <w:rsid w:val="00F42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5387B"/>
    <w:pPr>
      <w:ind w:left="720"/>
    </w:pPr>
  </w:style>
  <w:style w:type="character" w:customStyle="1" w:styleId="Heading3Char">
    <w:name w:val="Heading 3 Char"/>
    <w:link w:val="Heading3"/>
    <w:rsid w:val="00230698"/>
    <w:rPr>
      <w:rFonts w:ascii="Arial" w:hAnsi="Arial"/>
      <w:b/>
      <w:bCs/>
      <w:sz w:val="22"/>
      <w:szCs w:val="22"/>
      <w:lang w:eastAsia="en-US"/>
    </w:rPr>
  </w:style>
  <w:style w:type="character" w:customStyle="1" w:styleId="Heading9Char">
    <w:name w:val="Heading 9 Char"/>
    <w:link w:val="Heading9"/>
    <w:semiHidden/>
    <w:rsid w:val="00CB2FE2"/>
    <w:rPr>
      <w:rFonts w:ascii="Cambria" w:eastAsia="Times New Roman" w:hAnsi="Cambria" w:cs="Times New Roman"/>
      <w:sz w:val="22"/>
      <w:szCs w:val="22"/>
      <w:lang w:val="en-US" w:eastAsia="en-US"/>
    </w:rPr>
  </w:style>
  <w:style w:type="paragraph" w:styleId="Title">
    <w:name w:val="Title"/>
    <w:basedOn w:val="Normal"/>
    <w:link w:val="TitleChar"/>
    <w:qFormat/>
    <w:rsid w:val="00CB2FE2"/>
    <w:pPr>
      <w:jc w:val="center"/>
    </w:pPr>
    <w:rPr>
      <w:rFonts w:ascii="Times New Roman" w:hAnsi="Times New Roman"/>
      <w:b/>
      <w:bCs/>
      <w:sz w:val="24"/>
      <w:szCs w:val="24"/>
      <w:lang w:val="en-GB"/>
    </w:rPr>
  </w:style>
  <w:style w:type="character" w:customStyle="1" w:styleId="TitleChar">
    <w:name w:val="Title Char"/>
    <w:link w:val="Title"/>
    <w:rsid w:val="00CB2FE2"/>
    <w:rPr>
      <w:b/>
      <w:bCs/>
      <w:sz w:val="24"/>
      <w:szCs w:val="24"/>
      <w:lang w:eastAsia="en-US"/>
    </w:rPr>
  </w:style>
  <w:style w:type="paragraph" w:styleId="Subtitle">
    <w:name w:val="Subtitle"/>
    <w:basedOn w:val="Normal"/>
    <w:link w:val="SubtitleChar"/>
    <w:qFormat/>
    <w:rsid w:val="00CB2FE2"/>
    <w:rPr>
      <w:rFonts w:cs="Arial"/>
      <w:b/>
      <w:bCs/>
      <w:sz w:val="20"/>
      <w:szCs w:val="24"/>
      <w:lang w:val="en-GB"/>
    </w:rPr>
  </w:style>
  <w:style w:type="character" w:customStyle="1" w:styleId="SubtitleChar">
    <w:name w:val="Subtitle Char"/>
    <w:link w:val="Subtitle"/>
    <w:rsid w:val="00CB2FE2"/>
    <w:rPr>
      <w:rFonts w:ascii="Arial" w:hAnsi="Arial" w:cs="Arial"/>
      <w:b/>
      <w:bCs/>
      <w:szCs w:val="24"/>
      <w:lang w:eastAsia="en-US"/>
    </w:rPr>
  </w:style>
  <w:style w:type="paragraph" w:styleId="BodyText2">
    <w:name w:val="Body Text 2"/>
    <w:basedOn w:val="Normal"/>
    <w:link w:val="BodyText2Char"/>
    <w:rsid w:val="00EA695E"/>
    <w:pPr>
      <w:spacing w:after="120" w:line="480" w:lineRule="auto"/>
    </w:pPr>
  </w:style>
  <w:style w:type="character" w:customStyle="1" w:styleId="BodyText2Char">
    <w:name w:val="Body Text 2 Char"/>
    <w:link w:val="BodyText2"/>
    <w:rsid w:val="00EA695E"/>
    <w:rPr>
      <w:rFonts w:ascii="Arial" w:hAnsi="Arial"/>
      <w:sz w:val="22"/>
      <w:lang w:val="en-US" w:eastAsia="en-US"/>
    </w:rPr>
  </w:style>
  <w:style w:type="character" w:customStyle="1" w:styleId="FooterChar">
    <w:name w:val="Footer Char"/>
    <w:link w:val="Footer"/>
    <w:uiPriority w:val="99"/>
    <w:rsid w:val="00B315F5"/>
    <w:rPr>
      <w:rFonts w:ascii="Arial" w:hAnsi="Arial"/>
      <w:sz w:val="22"/>
      <w:lang w:val="en-US" w:eastAsia="en-US"/>
    </w:rPr>
  </w:style>
  <w:style w:type="paragraph" w:customStyle="1" w:styleId="Normal1">
    <w:name w:val="Normal1"/>
    <w:basedOn w:val="Normal"/>
    <w:rsid w:val="00B315F5"/>
    <w:rPr>
      <w:rFonts w:ascii="Times New Roman" w:hAnsi="Times New Roman"/>
      <w:sz w:val="24"/>
      <w:szCs w:val="24"/>
      <w:lang w:val="en-GB" w:eastAsia="en-GB"/>
    </w:rPr>
  </w:style>
  <w:style w:type="character" w:customStyle="1" w:styleId="normalchar1">
    <w:name w:val="normal__char1"/>
    <w:rsid w:val="00B315F5"/>
    <w:rPr>
      <w:rFonts w:ascii="Times New Roman" w:hAnsi="Times New Roman" w:cs="Times New Roman" w:hint="default"/>
      <w:strike w:val="0"/>
      <w:dstrike w:val="0"/>
      <w:sz w:val="24"/>
      <w:szCs w:val="24"/>
      <w:u w:val="none"/>
      <w:effect w:val="none"/>
    </w:rPr>
  </w:style>
  <w:style w:type="paragraph" w:styleId="NormalWeb">
    <w:name w:val="Normal (Web)"/>
    <w:basedOn w:val="Normal"/>
    <w:rsid w:val="00B35893"/>
    <w:pPr>
      <w:spacing w:before="100" w:beforeAutospacing="1" w:after="100" w:afterAutospacing="1"/>
    </w:pPr>
    <w:rPr>
      <w:rFonts w:ascii="Verdana" w:hAnsi="Verdana"/>
      <w:color w:val="000000"/>
      <w:szCs w:val="22"/>
      <w:lang w:val="en-GB" w:eastAsia="en-GB"/>
    </w:rPr>
  </w:style>
  <w:style w:type="paragraph" w:styleId="TOCHeading">
    <w:name w:val="TOC Heading"/>
    <w:basedOn w:val="Heading1"/>
    <w:next w:val="Normal"/>
    <w:uiPriority w:val="39"/>
    <w:semiHidden/>
    <w:unhideWhenUsed/>
    <w:qFormat/>
    <w:rsid w:val="00B853B0"/>
    <w:pPr>
      <w:keepLines/>
      <w:numPr>
        <w:numId w:val="0"/>
      </w:numPr>
      <w:overflowPunct/>
      <w:autoSpaceDE/>
      <w:autoSpaceDN/>
      <w:adjustRightInd/>
      <w:spacing w:before="480" w:line="276" w:lineRule="auto"/>
      <w:textAlignment w:val="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B853B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1354">
      <w:bodyDiv w:val="1"/>
      <w:marLeft w:val="0"/>
      <w:marRight w:val="0"/>
      <w:marTop w:val="0"/>
      <w:marBottom w:val="0"/>
      <w:divBdr>
        <w:top w:val="none" w:sz="0" w:space="0" w:color="auto"/>
        <w:left w:val="none" w:sz="0" w:space="0" w:color="auto"/>
        <w:bottom w:val="none" w:sz="0" w:space="0" w:color="auto"/>
        <w:right w:val="none" w:sz="0" w:space="0" w:color="auto"/>
      </w:divBdr>
    </w:div>
    <w:div w:id="460340996">
      <w:bodyDiv w:val="1"/>
      <w:marLeft w:val="0"/>
      <w:marRight w:val="0"/>
      <w:marTop w:val="0"/>
      <w:marBottom w:val="0"/>
      <w:divBdr>
        <w:top w:val="none" w:sz="0" w:space="0" w:color="auto"/>
        <w:left w:val="none" w:sz="0" w:space="0" w:color="auto"/>
        <w:bottom w:val="none" w:sz="0" w:space="0" w:color="auto"/>
        <w:right w:val="none" w:sz="0" w:space="0" w:color="auto"/>
      </w:divBdr>
      <w:divsChild>
        <w:div w:id="1714689246">
          <w:marLeft w:val="0"/>
          <w:marRight w:val="0"/>
          <w:marTop w:val="0"/>
          <w:marBottom w:val="0"/>
          <w:divBdr>
            <w:top w:val="none" w:sz="0" w:space="0" w:color="auto"/>
            <w:left w:val="none" w:sz="0" w:space="0" w:color="auto"/>
            <w:bottom w:val="none" w:sz="0" w:space="0" w:color="auto"/>
            <w:right w:val="none" w:sz="0" w:space="0" w:color="auto"/>
          </w:divBdr>
          <w:divsChild>
            <w:div w:id="482502769">
              <w:marLeft w:val="0"/>
              <w:marRight w:val="0"/>
              <w:marTop w:val="0"/>
              <w:marBottom w:val="0"/>
              <w:divBdr>
                <w:top w:val="none" w:sz="0" w:space="0" w:color="auto"/>
                <w:left w:val="none" w:sz="0" w:space="0" w:color="auto"/>
                <w:bottom w:val="none" w:sz="0" w:space="0" w:color="auto"/>
                <w:right w:val="none" w:sz="0" w:space="0" w:color="auto"/>
              </w:divBdr>
              <w:divsChild>
                <w:div w:id="214658907">
                  <w:marLeft w:val="0"/>
                  <w:marRight w:val="0"/>
                  <w:marTop w:val="0"/>
                  <w:marBottom w:val="0"/>
                  <w:divBdr>
                    <w:top w:val="none" w:sz="0" w:space="0" w:color="auto"/>
                    <w:left w:val="none" w:sz="0" w:space="0" w:color="auto"/>
                    <w:bottom w:val="none" w:sz="0" w:space="0" w:color="auto"/>
                    <w:right w:val="none" w:sz="0" w:space="0" w:color="auto"/>
                  </w:divBdr>
                  <w:divsChild>
                    <w:div w:id="1740395059">
                      <w:marLeft w:val="0"/>
                      <w:marRight w:val="0"/>
                      <w:marTop w:val="0"/>
                      <w:marBottom w:val="0"/>
                      <w:divBdr>
                        <w:top w:val="none" w:sz="0" w:space="0" w:color="auto"/>
                        <w:left w:val="none" w:sz="0" w:space="0" w:color="auto"/>
                        <w:bottom w:val="none" w:sz="0" w:space="0" w:color="auto"/>
                        <w:right w:val="none" w:sz="0" w:space="0" w:color="auto"/>
                      </w:divBdr>
                      <w:divsChild>
                        <w:div w:id="2026976936">
                          <w:marLeft w:val="0"/>
                          <w:marRight w:val="0"/>
                          <w:marTop w:val="0"/>
                          <w:marBottom w:val="0"/>
                          <w:divBdr>
                            <w:top w:val="none" w:sz="0" w:space="0" w:color="auto"/>
                            <w:left w:val="none" w:sz="0" w:space="0" w:color="auto"/>
                            <w:bottom w:val="none" w:sz="0" w:space="0" w:color="auto"/>
                            <w:right w:val="none" w:sz="0" w:space="0" w:color="auto"/>
                          </w:divBdr>
                          <w:divsChild>
                            <w:div w:id="1307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80879">
      <w:bodyDiv w:val="1"/>
      <w:marLeft w:val="0"/>
      <w:marRight w:val="0"/>
      <w:marTop w:val="0"/>
      <w:marBottom w:val="0"/>
      <w:divBdr>
        <w:top w:val="none" w:sz="0" w:space="0" w:color="auto"/>
        <w:left w:val="none" w:sz="0" w:space="0" w:color="auto"/>
        <w:bottom w:val="none" w:sz="0" w:space="0" w:color="auto"/>
        <w:right w:val="none" w:sz="0" w:space="0" w:color="auto"/>
      </w:divBdr>
    </w:div>
    <w:div w:id="1408266558">
      <w:bodyDiv w:val="1"/>
      <w:marLeft w:val="0"/>
      <w:marRight w:val="0"/>
      <w:marTop w:val="0"/>
      <w:marBottom w:val="0"/>
      <w:divBdr>
        <w:top w:val="none" w:sz="0" w:space="0" w:color="auto"/>
        <w:left w:val="none" w:sz="0" w:space="0" w:color="auto"/>
        <w:bottom w:val="none" w:sz="0" w:space="0" w:color="auto"/>
        <w:right w:val="none" w:sz="0" w:space="0" w:color="auto"/>
      </w:divBdr>
    </w:div>
    <w:div w:id="1587811468">
      <w:bodyDiv w:val="1"/>
      <w:marLeft w:val="0"/>
      <w:marRight w:val="0"/>
      <w:marTop w:val="0"/>
      <w:marBottom w:val="0"/>
      <w:divBdr>
        <w:top w:val="none" w:sz="0" w:space="0" w:color="auto"/>
        <w:left w:val="none" w:sz="0" w:space="0" w:color="auto"/>
        <w:bottom w:val="none" w:sz="0" w:space="0" w:color="auto"/>
        <w:right w:val="none" w:sz="0" w:space="0" w:color="auto"/>
      </w:divBdr>
    </w:div>
    <w:div w:id="17909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actsfinder.serv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map.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ractsfinder.service.gov.uk" TargetMode="External"/><Relationship Id="rId5" Type="http://schemas.openxmlformats.org/officeDocument/2006/relationships/settings" Target="settings.xml"/><Relationship Id="rId15" Type="http://schemas.openxmlformats.org/officeDocument/2006/relationships/hyperlink" Target="http://www.contractsfinder.service.gov.uk" TargetMode="External"/><Relationship Id="rId10" Type="http://schemas.openxmlformats.org/officeDocument/2006/relationships/hyperlink" Target="http://www.intranet.sheffieldccg.nhs.uk/Downloads/Policies/Revised%20Standards%20of%20Business%20Conduct%20Conflicts%20of%20Interest%20Policy%2025.01.16%20v1.3%20without%20TCs.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map.europa.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0/15/contents/enacted" TargetMode="External"/><Relationship Id="rId13" Type="http://schemas.openxmlformats.org/officeDocument/2006/relationships/hyperlink" Target="http://www.supplychain.nhs.uk/" TargetMode="External"/><Relationship Id="rId3" Type="http://schemas.openxmlformats.org/officeDocument/2006/relationships/hyperlink" Target="https://www.gov.uk/government/uploads/system/uploads/attachment_data/file/283505/SubstantiveGuidanceDec2013_0.pdf" TargetMode="External"/><Relationship Id="rId7" Type="http://schemas.openxmlformats.org/officeDocument/2006/relationships/hyperlink" Target="http://www.legislation.gov.uk/ukpga/2012/3/enacted" TargetMode="External"/><Relationship Id="rId12" Type="http://schemas.openxmlformats.org/officeDocument/2006/relationships/hyperlink" Target="http://www.sbs.nhs.uk/" TargetMode="External"/><Relationship Id="rId2" Type="http://schemas.openxmlformats.org/officeDocument/2006/relationships/hyperlink" Target="https://www.gov.uk/government/uploads/system/uploads/attachment_data/file/216280/dh_118219.pdf" TargetMode="External"/><Relationship Id="rId1" Type="http://schemas.openxmlformats.org/officeDocument/2006/relationships/hyperlink" Target="http://www.legislation.gov.uk/uksi/2013/500/pdfs/uksi_20130500_en.pdf" TargetMode="External"/><Relationship Id="rId6" Type="http://schemas.openxmlformats.org/officeDocument/2006/relationships/hyperlink" Target="http://www.legislation.gov.uk/ukpga/2012/7/pdfs/ukpga_20120007_en.pdf" TargetMode="External"/><Relationship Id="rId11" Type="http://schemas.openxmlformats.org/officeDocument/2006/relationships/hyperlink" Target="http://ccs.cabinetoffice.gov.uk/" TargetMode="External"/><Relationship Id="rId5" Type="http://schemas.openxmlformats.org/officeDocument/2006/relationships/hyperlink" Target="http://www.nhs.uk/choiceintheNHS/Rightsandpledges/NHSConstitution/Pages/Overview.aspx" TargetMode="External"/><Relationship Id="rId10" Type="http://schemas.openxmlformats.org/officeDocument/2006/relationships/hyperlink" Target="http://www.commissioningboard.nhs.uk/resources/resources-for-ccgs/" TargetMode="External"/><Relationship Id="rId4" Type="http://schemas.openxmlformats.org/officeDocument/2006/relationships/hyperlink" Target="http://www.sheffieldccg.nhs.uk/about-us/our-constitution.htm" TargetMode="External"/><Relationship Id="rId9" Type="http://schemas.openxmlformats.org/officeDocument/2006/relationships/hyperlink" Target="http://www.legislation.gov.uk/ukpga/2000/36/contents" TargetMode="External"/><Relationship Id="rId14" Type="http://schemas.openxmlformats.org/officeDocument/2006/relationships/hyperlink" Target="http://www.d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33C6-5262-400F-B89A-C7050EF2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8453</Words>
  <Characters>48186</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NHS SHEFFIELD CCG PROCUREMENT STRATEGY</vt:lpstr>
    </vt:vector>
  </TitlesOfParts>
  <Company>L R H NHS Trust</Company>
  <LinksUpToDate>false</LinksUpToDate>
  <CharactersWithSpaces>56526</CharactersWithSpaces>
  <SharedDoc>false</SharedDoc>
  <HLinks>
    <vt:vector size="120" baseType="variant">
      <vt:variant>
        <vt:i4>8192105</vt:i4>
      </vt:variant>
      <vt:variant>
        <vt:i4>21</vt:i4>
      </vt:variant>
      <vt:variant>
        <vt:i4>0</vt:i4>
      </vt:variant>
      <vt:variant>
        <vt:i4>5</vt:i4>
      </vt:variant>
      <vt:variant>
        <vt:lpwstr>http://www.contractsfinder.service.gov.uk/</vt:lpwstr>
      </vt:variant>
      <vt:variant>
        <vt:lpwstr/>
      </vt:variant>
      <vt:variant>
        <vt:i4>7929905</vt:i4>
      </vt:variant>
      <vt:variant>
        <vt:i4>18</vt:i4>
      </vt:variant>
      <vt:variant>
        <vt:i4>0</vt:i4>
      </vt:variant>
      <vt:variant>
        <vt:i4>5</vt:i4>
      </vt:variant>
      <vt:variant>
        <vt:lpwstr>http://simap.europa.eu/</vt:lpwstr>
      </vt:variant>
      <vt:variant>
        <vt:lpwstr/>
      </vt:variant>
      <vt:variant>
        <vt:i4>8192105</vt:i4>
      </vt:variant>
      <vt:variant>
        <vt:i4>15</vt:i4>
      </vt:variant>
      <vt:variant>
        <vt:i4>0</vt:i4>
      </vt:variant>
      <vt:variant>
        <vt:i4>5</vt:i4>
      </vt:variant>
      <vt:variant>
        <vt:lpwstr>http://www.contractsfinder.service.gov.uk/</vt:lpwstr>
      </vt:variant>
      <vt:variant>
        <vt:lpwstr/>
      </vt:variant>
      <vt:variant>
        <vt:i4>7929905</vt:i4>
      </vt:variant>
      <vt:variant>
        <vt:i4>12</vt:i4>
      </vt:variant>
      <vt:variant>
        <vt:i4>0</vt:i4>
      </vt:variant>
      <vt:variant>
        <vt:i4>5</vt:i4>
      </vt:variant>
      <vt:variant>
        <vt:lpwstr>http://simap.europa.eu/</vt:lpwstr>
      </vt:variant>
      <vt:variant>
        <vt:lpwstr/>
      </vt:variant>
      <vt:variant>
        <vt:i4>8192105</vt:i4>
      </vt:variant>
      <vt:variant>
        <vt:i4>9</vt:i4>
      </vt:variant>
      <vt:variant>
        <vt:i4>0</vt:i4>
      </vt:variant>
      <vt:variant>
        <vt:i4>5</vt:i4>
      </vt:variant>
      <vt:variant>
        <vt:lpwstr>http://www.contractsfinder.service.gov.uk/</vt:lpwstr>
      </vt:variant>
      <vt:variant>
        <vt:lpwstr/>
      </vt:variant>
      <vt:variant>
        <vt:i4>4915292</vt:i4>
      </vt:variant>
      <vt:variant>
        <vt:i4>42</vt:i4>
      </vt:variant>
      <vt:variant>
        <vt:i4>0</vt:i4>
      </vt:variant>
      <vt:variant>
        <vt:i4>5</vt:i4>
      </vt:variant>
      <vt:variant>
        <vt:lpwstr>http://www.dh.gov.uk/</vt:lpwstr>
      </vt:variant>
      <vt:variant>
        <vt:lpwstr/>
      </vt:variant>
      <vt:variant>
        <vt:i4>7274542</vt:i4>
      </vt:variant>
      <vt:variant>
        <vt:i4>39</vt:i4>
      </vt:variant>
      <vt:variant>
        <vt:i4>0</vt:i4>
      </vt:variant>
      <vt:variant>
        <vt:i4>5</vt:i4>
      </vt:variant>
      <vt:variant>
        <vt:lpwstr>http://www.supplychain.nhs.uk/</vt:lpwstr>
      </vt:variant>
      <vt:variant>
        <vt:lpwstr/>
      </vt:variant>
      <vt:variant>
        <vt:i4>7077937</vt:i4>
      </vt:variant>
      <vt:variant>
        <vt:i4>36</vt:i4>
      </vt:variant>
      <vt:variant>
        <vt:i4>0</vt:i4>
      </vt:variant>
      <vt:variant>
        <vt:i4>5</vt:i4>
      </vt:variant>
      <vt:variant>
        <vt:lpwstr>http://www.sbs.nhs.uk/</vt:lpwstr>
      </vt:variant>
      <vt:variant>
        <vt:lpwstr/>
      </vt:variant>
      <vt:variant>
        <vt:i4>8323128</vt:i4>
      </vt:variant>
      <vt:variant>
        <vt:i4>33</vt:i4>
      </vt:variant>
      <vt:variant>
        <vt:i4>0</vt:i4>
      </vt:variant>
      <vt:variant>
        <vt:i4>5</vt:i4>
      </vt:variant>
      <vt:variant>
        <vt:lpwstr>http://www.commissioningboard.nhs.uk/resources/resources-for-ccgs/</vt:lpwstr>
      </vt:variant>
      <vt:variant>
        <vt:lpwstr/>
      </vt:variant>
      <vt:variant>
        <vt:i4>6422568</vt:i4>
      </vt:variant>
      <vt:variant>
        <vt:i4>30</vt:i4>
      </vt:variant>
      <vt:variant>
        <vt:i4>0</vt:i4>
      </vt:variant>
      <vt:variant>
        <vt:i4>5</vt:i4>
      </vt:variant>
      <vt:variant>
        <vt:lpwstr>https://www.gov.uk/government/uploads/system/uploads/attachment_data/file/62101/10_2011_20Threshold_20Rates_20for_202012_20and_20AR_20Procedure_20Update.pdf</vt:lpwstr>
      </vt:variant>
      <vt:variant>
        <vt:lpwstr/>
      </vt:variant>
      <vt:variant>
        <vt:i4>4653132</vt:i4>
      </vt:variant>
      <vt:variant>
        <vt:i4>27</vt:i4>
      </vt:variant>
      <vt:variant>
        <vt:i4>0</vt:i4>
      </vt:variant>
      <vt:variant>
        <vt:i4>5</vt:i4>
      </vt:variant>
      <vt:variant>
        <vt:lpwstr>http://www.legislation.gov.uk/ukpga/2000/36/contents</vt:lpwstr>
      </vt:variant>
      <vt:variant>
        <vt:lpwstr/>
      </vt:variant>
      <vt:variant>
        <vt:i4>5308425</vt:i4>
      </vt:variant>
      <vt:variant>
        <vt:i4>24</vt:i4>
      </vt:variant>
      <vt:variant>
        <vt:i4>0</vt:i4>
      </vt:variant>
      <vt:variant>
        <vt:i4>5</vt:i4>
      </vt:variant>
      <vt:variant>
        <vt:lpwstr>http://www.legislation.gov.uk/ukpga/2010/15/contents/enacted</vt:lpwstr>
      </vt:variant>
      <vt:variant>
        <vt:lpwstr/>
      </vt:variant>
      <vt:variant>
        <vt:i4>7864352</vt:i4>
      </vt:variant>
      <vt:variant>
        <vt:i4>21</vt:i4>
      </vt:variant>
      <vt:variant>
        <vt:i4>0</vt:i4>
      </vt:variant>
      <vt:variant>
        <vt:i4>5</vt:i4>
      </vt:variant>
      <vt:variant>
        <vt:lpwstr>http://www.legislation.gov.uk/ukpga/2012/3/enacted</vt:lpwstr>
      </vt:variant>
      <vt:variant>
        <vt:lpwstr/>
      </vt:variant>
      <vt:variant>
        <vt:i4>6881314</vt:i4>
      </vt:variant>
      <vt:variant>
        <vt:i4>18</vt:i4>
      </vt:variant>
      <vt:variant>
        <vt:i4>0</vt:i4>
      </vt:variant>
      <vt:variant>
        <vt:i4>5</vt:i4>
      </vt:variant>
      <vt:variant>
        <vt:lpwstr>https://online.contractsfinder.businesslink.gov.uk/</vt:lpwstr>
      </vt:variant>
      <vt:variant>
        <vt:lpwstr/>
      </vt:variant>
      <vt:variant>
        <vt:i4>2621561</vt:i4>
      </vt:variant>
      <vt:variant>
        <vt:i4>15</vt:i4>
      </vt:variant>
      <vt:variant>
        <vt:i4>0</vt:i4>
      </vt:variant>
      <vt:variant>
        <vt:i4>5</vt:i4>
      </vt:variant>
      <vt:variant>
        <vt:lpwstr>http://www.legislation.gov.uk/ukpga/2012/7/pdfs/ukpga_20120007_en.pdf</vt:lpwstr>
      </vt:variant>
      <vt:variant>
        <vt:lpwstr/>
      </vt:variant>
      <vt:variant>
        <vt:i4>4456458</vt:i4>
      </vt:variant>
      <vt:variant>
        <vt:i4>12</vt:i4>
      </vt:variant>
      <vt:variant>
        <vt:i4>0</vt:i4>
      </vt:variant>
      <vt:variant>
        <vt:i4>5</vt:i4>
      </vt:variant>
      <vt:variant>
        <vt:lpwstr>http://www.nhs.uk/choiceintheNHS/Rightsandpledges/NHSConstitution/Pages/Overview.aspx</vt:lpwstr>
      </vt:variant>
      <vt:variant>
        <vt:lpwstr/>
      </vt:variant>
      <vt:variant>
        <vt:i4>7405669</vt:i4>
      </vt:variant>
      <vt:variant>
        <vt:i4>9</vt:i4>
      </vt:variant>
      <vt:variant>
        <vt:i4>0</vt:i4>
      </vt:variant>
      <vt:variant>
        <vt:i4>5</vt:i4>
      </vt:variant>
      <vt:variant>
        <vt:lpwstr>http://www.sheffield.nhs.uk/ccgboard/070612/PAPERD.pdf</vt:lpwstr>
      </vt:variant>
      <vt:variant>
        <vt:lpwstr/>
      </vt:variant>
      <vt:variant>
        <vt:i4>4915207</vt:i4>
      </vt:variant>
      <vt:variant>
        <vt:i4>6</vt:i4>
      </vt:variant>
      <vt:variant>
        <vt:i4>0</vt:i4>
      </vt:variant>
      <vt:variant>
        <vt:i4>5</vt:i4>
      </vt:variant>
      <vt:variant>
        <vt:lpwstr>https://www.gov.uk/government/uploads/system/uploads/attachment_data/file/283505/SubstantiveGuidanceDec2013_0.pdf</vt:lpwstr>
      </vt:variant>
      <vt:variant>
        <vt:lpwstr/>
      </vt:variant>
      <vt:variant>
        <vt:i4>3735613</vt:i4>
      </vt:variant>
      <vt:variant>
        <vt:i4>3</vt:i4>
      </vt:variant>
      <vt:variant>
        <vt:i4>0</vt:i4>
      </vt:variant>
      <vt:variant>
        <vt:i4>5</vt:i4>
      </vt:variant>
      <vt:variant>
        <vt:lpwstr>https://www.gov.uk/government/uploads/system/uploads/attachment_data/file/216280/dh_118219.pdf</vt:lpwstr>
      </vt:variant>
      <vt:variant>
        <vt:lpwstr/>
      </vt:variant>
      <vt:variant>
        <vt:i4>2621561</vt:i4>
      </vt:variant>
      <vt:variant>
        <vt:i4>0</vt:i4>
      </vt:variant>
      <vt:variant>
        <vt:i4>0</vt:i4>
      </vt:variant>
      <vt:variant>
        <vt:i4>5</vt:i4>
      </vt:variant>
      <vt:variant>
        <vt:lpwstr>http://www.legislation.gov.uk/uksi/2013/500/pdfs/uksi_20130500_en.pdf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SHEFFIELD CCG PROCUREMENT STRATEGY</dc:title>
  <dc:creator>mooren</dc:creator>
  <cp:lastModifiedBy>Erin Brady</cp:lastModifiedBy>
  <cp:revision>2</cp:revision>
  <cp:lastPrinted>2019-05-08T08:51:00Z</cp:lastPrinted>
  <dcterms:created xsi:type="dcterms:W3CDTF">2019-05-22T11:03:00Z</dcterms:created>
  <dcterms:modified xsi:type="dcterms:W3CDTF">2019-05-22T11:03:00Z</dcterms:modified>
</cp:coreProperties>
</file>